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D0" w:rsidRDefault="00856BD0" w:rsidP="00856BD0">
      <w:pPr>
        <w:rPr>
          <w:sz w:val="24"/>
          <w:szCs w:val="24"/>
        </w:rPr>
      </w:pPr>
      <w:r w:rsidRPr="006A7313">
        <w:t>Arkivsak-</w:t>
      </w:r>
      <w:proofErr w:type="spellStart"/>
      <w:r w:rsidRPr="006A7313">
        <w:t>dok</w:t>
      </w:r>
      <w:proofErr w:type="spellEnd"/>
      <w:r w:rsidRPr="006A7313">
        <w:t>.</w:t>
      </w:r>
      <w:r w:rsidRPr="006A7313">
        <w:tab/>
      </w:r>
      <w:r w:rsidRPr="006A7313">
        <w:tab/>
      </w:r>
      <w:r w:rsidR="007C108A" w:rsidRPr="006A7313">
        <w:t>166 - 15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eastAsia="Times New Roman"/>
          <w:noProof/>
          <w:lang w:eastAsia="nb-NO"/>
        </w:rPr>
        <w:drawing>
          <wp:inline distT="0" distB="0" distL="0" distR="0" wp14:anchorId="6DEA43C9" wp14:editId="4F375E8B">
            <wp:extent cx="1057275" cy="866775"/>
            <wp:effectExtent l="0" t="0" r="9525" b="9525"/>
            <wp:docPr id="2" name="Bilde 2"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7C108A" w:rsidRPr="006A7313" w:rsidRDefault="00856BD0" w:rsidP="00856BD0">
      <w:proofErr w:type="gramStart"/>
      <w:r w:rsidRPr="006A7313">
        <w:t>Saksbehandler:</w:t>
      </w:r>
      <w:r w:rsidR="007C108A" w:rsidRPr="006A7313">
        <w:tab/>
      </w:r>
      <w:proofErr w:type="gramEnd"/>
      <w:r w:rsidR="006A7313">
        <w:tab/>
      </w:r>
      <w:r w:rsidR="007C108A" w:rsidRPr="006A7313">
        <w:t>Oddgeir Tørset</w:t>
      </w:r>
    </w:p>
    <w:p w:rsidR="00856BD0" w:rsidRPr="006A7313" w:rsidRDefault="007C108A" w:rsidP="00856BD0">
      <w:r w:rsidRPr="006A7313">
        <w:tab/>
      </w:r>
      <w:r w:rsidRPr="006A7313">
        <w:tab/>
      </w:r>
      <w:r w:rsidRPr="006A7313">
        <w:tab/>
        <w:t>Guri Årtun</w:t>
      </w:r>
      <w:r w:rsidR="00856BD0" w:rsidRPr="006A7313">
        <w:tab/>
      </w:r>
    </w:p>
    <w:p w:rsidR="00856BD0" w:rsidRDefault="00856BD0" w:rsidP="00856BD0">
      <w:pPr>
        <w:rPr>
          <w:sz w:val="24"/>
          <w:szCs w:val="24"/>
        </w:rPr>
      </w:pPr>
    </w:p>
    <w:p w:rsidR="00856BD0" w:rsidRPr="006A7313" w:rsidRDefault="00856BD0" w:rsidP="00856BD0">
      <w:r w:rsidRPr="006A7313">
        <w:t xml:space="preserve">Behandles </w:t>
      </w:r>
      <w:proofErr w:type="gramStart"/>
      <w:r w:rsidRPr="006A7313">
        <w:t>av:</w:t>
      </w:r>
      <w:r w:rsidRPr="006A7313">
        <w:tab/>
      </w:r>
      <w:proofErr w:type="gramEnd"/>
      <w:r w:rsidRPr="006A7313">
        <w:tab/>
      </w:r>
      <w:r w:rsidRPr="006A7313">
        <w:tab/>
      </w:r>
      <w:r w:rsidRPr="006A7313">
        <w:tab/>
      </w:r>
      <w:r w:rsidRPr="006A7313">
        <w:tab/>
      </w:r>
      <w:r w:rsidRPr="006A7313">
        <w:tab/>
      </w:r>
      <w:r w:rsidRPr="006A7313">
        <w:tab/>
        <w:t>Møtedato:</w:t>
      </w:r>
      <w:r w:rsidRPr="006A7313">
        <w:tab/>
      </w:r>
    </w:p>
    <w:p w:rsidR="00856BD0" w:rsidRPr="006A7313" w:rsidRDefault="00856BD0" w:rsidP="00856BD0">
      <w:r w:rsidRPr="006A7313">
        <w:t>Sandnes Eiendomsselskap KF</w:t>
      </w:r>
      <w:r w:rsidRPr="006A7313">
        <w:tab/>
      </w:r>
      <w:r w:rsidRPr="006A7313">
        <w:tab/>
      </w:r>
      <w:r w:rsidRPr="006A7313">
        <w:tab/>
      </w:r>
      <w:r w:rsidRPr="006A7313">
        <w:tab/>
      </w:r>
      <w:r w:rsidRPr="006A7313">
        <w:tab/>
        <w:t>12.11.2015</w:t>
      </w:r>
    </w:p>
    <w:p w:rsidR="00856BD0" w:rsidRPr="006A7313" w:rsidRDefault="00856BD0">
      <w:pPr>
        <w:rPr>
          <w:b/>
        </w:rPr>
      </w:pPr>
    </w:p>
    <w:p w:rsidR="00856BD0" w:rsidRDefault="00856BD0">
      <w:pPr>
        <w:rPr>
          <w:b/>
          <w:sz w:val="40"/>
          <w:szCs w:val="40"/>
        </w:rPr>
      </w:pPr>
      <w:bookmarkStart w:id="0" w:name="_GoBack"/>
      <w:bookmarkEnd w:id="0"/>
    </w:p>
    <w:p w:rsidR="002348E6" w:rsidRDefault="003E04BB">
      <w:pPr>
        <w:rPr>
          <w:b/>
          <w:sz w:val="40"/>
          <w:szCs w:val="40"/>
        </w:rPr>
      </w:pPr>
      <w:r w:rsidRPr="007308FE">
        <w:rPr>
          <w:b/>
          <w:sz w:val="40"/>
          <w:szCs w:val="40"/>
        </w:rPr>
        <w:t>Internhusleie</w:t>
      </w:r>
      <w:r w:rsidR="00FF5D94">
        <w:rPr>
          <w:b/>
          <w:sz w:val="40"/>
          <w:szCs w:val="40"/>
        </w:rPr>
        <w:t xml:space="preserve"> – implementering 2015</w:t>
      </w:r>
    </w:p>
    <w:p w:rsidR="00704AA6" w:rsidRDefault="00704AA6"/>
    <w:p w:rsidR="003E04BB" w:rsidRDefault="003E04BB">
      <w:r>
        <w:t>I saken beskrives innføring av internhusleie fra og med inneværende år.</w:t>
      </w:r>
    </w:p>
    <w:p w:rsidR="003E04BB" w:rsidRDefault="003E04BB"/>
    <w:p w:rsidR="007A6BF1" w:rsidRDefault="007A6BF1" w:rsidP="007A6BF1">
      <w:pPr>
        <w:rPr>
          <w:sz w:val="28"/>
          <w:szCs w:val="28"/>
        </w:rPr>
      </w:pPr>
      <w:r>
        <w:rPr>
          <w:b/>
          <w:sz w:val="28"/>
          <w:szCs w:val="28"/>
          <w:u w:val="single"/>
        </w:rPr>
        <w:t>Bakgrunn for saken:</w:t>
      </w:r>
    </w:p>
    <w:p w:rsidR="003E04BB" w:rsidRDefault="003E04BB" w:rsidP="003E04BB">
      <w:r>
        <w:t xml:space="preserve">I </w:t>
      </w:r>
      <w:proofErr w:type="spellStart"/>
      <w:r>
        <w:t>bsak</w:t>
      </w:r>
      <w:proofErr w:type="spellEnd"/>
      <w:r>
        <w:t xml:space="preserve"> 44/13 og 122/13 som omhandler opprettelse av Sandnes Eiendomsselskap KF er innføring av internhusleie fremholdt som anbefalt inntektskilde for foretaket. Model for internhusleie er fremlagt styret i SEKF i sak 71/14 og bystyret i </w:t>
      </w:r>
      <w:proofErr w:type="spellStart"/>
      <w:r>
        <w:t>bsak</w:t>
      </w:r>
      <w:proofErr w:type="spellEnd"/>
      <w:r>
        <w:t xml:space="preserve"> 169/14. I styresak </w:t>
      </w:r>
      <w:r w:rsidR="008A4C77">
        <w:t xml:space="preserve">SEKF </w:t>
      </w:r>
      <w:r>
        <w:t xml:space="preserve">117-15 </w:t>
      </w:r>
      <w:r w:rsidR="008A4C77">
        <w:t xml:space="preserve">og sak </w:t>
      </w:r>
      <w:r w:rsidR="00856BD0">
        <w:t>150</w:t>
      </w:r>
      <w:r w:rsidR="008A4C77">
        <w:t xml:space="preserve">-15 </w:t>
      </w:r>
      <w:r>
        <w:t>ble prinsipper og gjennomføring</w:t>
      </w:r>
      <w:r w:rsidR="001C71CA">
        <w:t xml:space="preserve"> ytterligere</w:t>
      </w:r>
      <w:r>
        <w:t xml:space="preserve"> beskrevet. </w:t>
      </w:r>
      <w:r w:rsidR="005D0BF7">
        <w:t>Hovedtanken ved innføring av internhusleie er å ha en god oversikt over kostnadene for bygningsmassen</w:t>
      </w:r>
      <w:r w:rsidR="001C71CA">
        <w:t xml:space="preserve"> som kommunene eier</w:t>
      </w:r>
      <w:r w:rsidR="005D0BF7">
        <w:t xml:space="preserve"> og at en ved å følge de prinsippene som legges til grunn for internhusleien og SEKF sin nedbetaling av lånegjeld skal gi mer penger til vedlikehold og dermed redusere kommunes vedlikeholdsetterslep. </w:t>
      </w:r>
      <w:r>
        <w:t xml:space="preserve">Det har vært en krevende prosess å beregne internhusleien og komme fram til beløpene som skal være utgangspunktet for internhusleien. </w:t>
      </w:r>
      <w:r w:rsidRPr="0021112C">
        <w:t xml:space="preserve">Beregningen er nå </w:t>
      </w:r>
      <w:r w:rsidR="0021112C" w:rsidRPr="0021112C">
        <w:t xml:space="preserve">gjennomført for eldre og nye bygg, se vedlegg hhv 1 og 2. Det vil fortløpende bli justeringer av husleiene etter hvert som nye byggeprosjekter kommer til og bygg selges. </w:t>
      </w:r>
      <w:r w:rsidR="00EA51AF" w:rsidRPr="0021112C">
        <w:t>Beløpene er lagt inn i SEKF sitt budsjett</w:t>
      </w:r>
      <w:r w:rsidR="008A4C77" w:rsidRPr="0021112C">
        <w:t xml:space="preserve">, jfr. Sak SEKF </w:t>
      </w:r>
      <w:r w:rsidR="00856BD0" w:rsidRPr="0021112C">
        <w:t>150</w:t>
      </w:r>
      <w:r w:rsidR="008A4C77" w:rsidRPr="0021112C">
        <w:t xml:space="preserve">-15, </w:t>
      </w:r>
      <w:r w:rsidR="00EA51AF" w:rsidRPr="0021112C">
        <w:t xml:space="preserve">og </w:t>
      </w:r>
      <w:r w:rsidR="003B085C" w:rsidRPr="0021112C">
        <w:t xml:space="preserve">rådmannens forslag til </w:t>
      </w:r>
      <w:r w:rsidR="00EA51AF" w:rsidRPr="0021112C">
        <w:t>økonomiplan</w:t>
      </w:r>
      <w:r w:rsidR="003B085C" w:rsidRPr="0021112C">
        <w:t xml:space="preserve"> 2016 - 2019</w:t>
      </w:r>
      <w:r w:rsidR="00EA51AF" w:rsidRPr="0021112C">
        <w:t>.</w:t>
      </w:r>
    </w:p>
    <w:p w:rsidR="007A6BF1" w:rsidRDefault="007A6BF1" w:rsidP="003E04BB"/>
    <w:p w:rsidR="007A6BF1" w:rsidRDefault="007A6BF1" w:rsidP="003E04BB">
      <w:r>
        <w:rPr>
          <w:b/>
          <w:sz w:val="28"/>
          <w:szCs w:val="28"/>
          <w:u w:val="single"/>
        </w:rPr>
        <w:t>Saksopplysninger:</w:t>
      </w:r>
    </w:p>
    <w:p w:rsidR="003E04BB" w:rsidRPr="007A6BF1" w:rsidRDefault="00A4490B" w:rsidP="007A6BF1">
      <w:pPr>
        <w:rPr>
          <w:b/>
        </w:rPr>
      </w:pPr>
      <w:r w:rsidRPr="007A6BF1">
        <w:rPr>
          <w:b/>
        </w:rPr>
        <w:t>Prinsipper for internhusleien</w:t>
      </w:r>
    </w:p>
    <w:p w:rsidR="00990F36" w:rsidRDefault="00A4490B" w:rsidP="000E02CB">
      <w:pPr>
        <w:pStyle w:val="Listeavsnitt"/>
        <w:numPr>
          <w:ilvl w:val="0"/>
          <w:numId w:val="2"/>
        </w:numPr>
      </w:pPr>
      <w:r>
        <w:t xml:space="preserve">Internhusleien </w:t>
      </w:r>
      <w:r w:rsidR="001C71CA">
        <w:t xml:space="preserve">består av </w:t>
      </w:r>
      <w:r>
        <w:t xml:space="preserve">to elementer, en kapitaldel og en del for forvaltning, drift og vedlikehold (FDV). </w:t>
      </w:r>
      <w:r w:rsidR="00990F36">
        <w:t xml:space="preserve">Både rente og avdrag er satt til 2,5%. </w:t>
      </w:r>
      <w:r>
        <w:t xml:space="preserve">Begge elementer skal </w:t>
      </w:r>
      <w:proofErr w:type="spellStart"/>
      <w:r>
        <w:t>kpi</w:t>
      </w:r>
      <w:proofErr w:type="spellEnd"/>
      <w:r>
        <w:t xml:space="preserve">-justeres hvert år. KPI-justeringen </w:t>
      </w:r>
      <w:r w:rsidR="00990F36">
        <w:t xml:space="preserve">beregnes i forbindelse med utarbeidelse av budsjett og </w:t>
      </w:r>
      <w:r w:rsidR="00990F36">
        <w:lastRenderedPageBreak/>
        <w:t>økonomiplan og vil ta utgangspunkt i siste kjente</w:t>
      </w:r>
      <w:r>
        <w:t xml:space="preserve"> totalprisindeks</w:t>
      </w:r>
      <w:r w:rsidR="00990F36">
        <w:t xml:space="preserve">. </w:t>
      </w:r>
      <w:proofErr w:type="spellStart"/>
      <w:r w:rsidR="007308FE">
        <w:t>Kpi</w:t>
      </w:r>
      <w:proofErr w:type="spellEnd"/>
      <w:r w:rsidR="007308FE">
        <w:t>-justering skjer fra og med 2016.</w:t>
      </w:r>
    </w:p>
    <w:p w:rsidR="00A4490B" w:rsidRDefault="00A4490B" w:rsidP="000E02CB">
      <w:pPr>
        <w:pStyle w:val="Listeavsnitt"/>
        <w:numPr>
          <w:ilvl w:val="0"/>
          <w:numId w:val="2"/>
        </w:numPr>
      </w:pPr>
      <w:r>
        <w:t xml:space="preserve">For bygg som ble tatt i bruk før 01.01.2015 skal </w:t>
      </w:r>
      <w:r w:rsidR="00353CB0">
        <w:t xml:space="preserve">kapitaldelen av </w:t>
      </w:r>
      <w:r>
        <w:t xml:space="preserve">husleieberegningen skje med utgangspunkt i balansen per 31.12.2014 og beløpet for </w:t>
      </w:r>
      <w:r w:rsidR="00353CB0">
        <w:t xml:space="preserve">FDV – delen av </w:t>
      </w:r>
      <w:r w:rsidR="00353CB0">
        <w:tab/>
      </w:r>
      <w:r>
        <w:t xml:space="preserve">internhusleien skal tilsvare </w:t>
      </w:r>
      <w:r w:rsidR="007A2419">
        <w:t>tidligere driftsbudsjett</w:t>
      </w:r>
      <w:r>
        <w:t xml:space="preserve"> til SEKF for forvaltning, drift og vedlikeho</w:t>
      </w:r>
      <w:r w:rsidR="00A86DFB">
        <w:t>ld</w:t>
      </w:r>
      <w:r w:rsidR="007A2419">
        <w:t xml:space="preserve">. I tillegg kommer kostnader til </w:t>
      </w:r>
      <w:r w:rsidR="00A86DFB">
        <w:t xml:space="preserve">renhold, </w:t>
      </w:r>
      <w:r>
        <w:t>energi</w:t>
      </w:r>
      <w:r w:rsidR="00A86DFB">
        <w:t xml:space="preserve"> og brukerstyrte vaktmestertjenester</w:t>
      </w:r>
      <w:r>
        <w:t>.</w:t>
      </w:r>
      <w:r w:rsidR="00990F36">
        <w:t xml:space="preserve"> </w:t>
      </w:r>
    </w:p>
    <w:p w:rsidR="005D0BF7" w:rsidRDefault="00A4490B" w:rsidP="00DB2421">
      <w:pPr>
        <w:pStyle w:val="Listeavsnitt"/>
        <w:numPr>
          <w:ilvl w:val="0"/>
          <w:numId w:val="2"/>
        </w:numPr>
      </w:pPr>
      <w:r>
        <w:t xml:space="preserve">For bygg som tas i bruk etter 31.12.2014 skal det beregnes </w:t>
      </w:r>
      <w:r w:rsidR="00990F36">
        <w:t>internhusleie etter samme satser som for beregning av driftskonsekvenser ved investeringer</w:t>
      </w:r>
      <w:r w:rsidR="007A2419">
        <w:t xml:space="preserve"> (DKI)</w:t>
      </w:r>
      <w:r w:rsidR="004D0A27">
        <w:t xml:space="preserve"> i ØP 2015 - 2018</w:t>
      </w:r>
      <w:r w:rsidR="00990F36">
        <w:t>.</w:t>
      </w:r>
      <w:r w:rsidR="003808AA">
        <w:t xml:space="preserve"> </w:t>
      </w:r>
    </w:p>
    <w:p w:rsidR="00EA51AF" w:rsidRDefault="00EA51AF" w:rsidP="00DB2421">
      <w:pPr>
        <w:pStyle w:val="Listeavsnitt"/>
        <w:numPr>
          <w:ilvl w:val="0"/>
          <w:numId w:val="2"/>
        </w:numPr>
      </w:pPr>
      <w:r>
        <w:t xml:space="preserve">For </w:t>
      </w:r>
      <w:r w:rsidR="004D0A27">
        <w:t xml:space="preserve">mindre </w:t>
      </w:r>
      <w:r>
        <w:t>in</w:t>
      </w:r>
      <w:r w:rsidR="004D0A27">
        <w:t xml:space="preserve">vesteringer uten arealutvidelse, eksempelvis mindre rehabiliteringer, </w:t>
      </w:r>
      <w:r>
        <w:t xml:space="preserve">skal </w:t>
      </w:r>
      <w:r w:rsidR="006F2178">
        <w:t>investeringskostnaden legges til bokført verdi og kapitaldelen av husleien justeres tilsvarende. Husleiekostnadene beregnes endelig i 1. perioderapport påfølgende år.</w:t>
      </w:r>
      <w:r w:rsidR="004D0A27">
        <w:t xml:space="preserve"> </w:t>
      </w:r>
    </w:p>
    <w:p w:rsidR="004D0A27" w:rsidRDefault="004D0A27" w:rsidP="00DB2421">
      <w:pPr>
        <w:pStyle w:val="Listeavsnitt"/>
        <w:numPr>
          <w:ilvl w:val="0"/>
          <w:numId w:val="2"/>
        </w:numPr>
      </w:pPr>
      <w:r>
        <w:t>For bygg som gjennomgår større rehabiliteringer eller hovedombygginger blir bygget beregnet etter samme modell som for nye bygg.</w:t>
      </w:r>
    </w:p>
    <w:p w:rsidR="005D0BF7" w:rsidRDefault="005D0BF7" w:rsidP="00DB2421">
      <w:pPr>
        <w:pStyle w:val="Listeavsnitt"/>
        <w:numPr>
          <w:ilvl w:val="0"/>
          <w:numId w:val="2"/>
        </w:numPr>
      </w:pPr>
      <w:r>
        <w:t xml:space="preserve">Ved beregning av FDV har driftsavtaler for bygg og uteområder tidligere vært med i beregningen. Da det ikke er alle bygg som mottar tjenester etter disse avtalene, vil disse kostnadene bli trukket ut av FDV-satsen og kostnaden vil kun bli viderefakturert til de bygg som faktisk mottar tjenesten. Den generelle FDV-satsen er redusert tilsvarende. I tidligere saker er FDV-satsen for eldre bygg satt til kr 165, denne er nå redusert til kr </w:t>
      </w:r>
      <w:r w:rsidRPr="00A86DFB">
        <w:rPr>
          <w:color w:val="FF0000"/>
        </w:rPr>
        <w:t>1</w:t>
      </w:r>
      <w:r w:rsidR="00347C31">
        <w:rPr>
          <w:color w:val="FF0000"/>
        </w:rPr>
        <w:t>1</w:t>
      </w:r>
      <w:r w:rsidR="00353CB0">
        <w:rPr>
          <w:color w:val="FF0000"/>
        </w:rPr>
        <w:t>0</w:t>
      </w:r>
      <w:r w:rsidR="00353CB0">
        <w:t>.</w:t>
      </w:r>
      <w:r>
        <w:t xml:space="preserve"> </w:t>
      </w:r>
      <w:r w:rsidR="00353CB0">
        <w:t>F</w:t>
      </w:r>
      <w:r>
        <w:t>or nye bygg er satsen kr 310.</w:t>
      </w:r>
      <w:r w:rsidR="005F2EAF">
        <w:t xml:space="preserve"> </w:t>
      </w:r>
    </w:p>
    <w:p w:rsidR="003808AA" w:rsidRDefault="003808AA" w:rsidP="00A4490B">
      <w:pPr>
        <w:pStyle w:val="Listeavsnitt"/>
        <w:numPr>
          <w:ilvl w:val="0"/>
          <w:numId w:val="2"/>
        </w:numPr>
      </w:pPr>
      <w:r>
        <w:t xml:space="preserve">Internhusleien skal starte fra den 01. </w:t>
      </w:r>
      <w:proofErr w:type="gramStart"/>
      <w:r>
        <w:t>i</w:t>
      </w:r>
      <w:proofErr w:type="gramEnd"/>
      <w:r>
        <w:t xml:space="preserve"> måneden bygget tas i bruk. </w:t>
      </w:r>
      <w:r w:rsidR="001161E7">
        <w:t>Grunnlag for kapitaldelen ved overtakelse er påførte kostnader på overtakelsestidspunktet.</w:t>
      </w:r>
      <w:r>
        <w:t xml:space="preserve"> Byggeregnskap avlegges 15 måneder etter at et bygg er tatt i bruk. Ved avleggelse av byggeregnskap foretas det en justering og avregning av husleien. </w:t>
      </w:r>
      <w:r w:rsidR="00E52E29">
        <w:t xml:space="preserve">For </w:t>
      </w:r>
      <w:r w:rsidR="001161E7">
        <w:t>bygg</w:t>
      </w:r>
      <w:r w:rsidR="00E52E29">
        <w:t xml:space="preserve"> som</w:t>
      </w:r>
      <w:r w:rsidR="001161E7">
        <w:t xml:space="preserve"> bare tas delvis i bruk</w:t>
      </w:r>
      <w:r w:rsidR="00E52E29">
        <w:t xml:space="preserve"> betales vanlig husleie.</w:t>
      </w:r>
    </w:p>
    <w:p w:rsidR="003808AA" w:rsidRDefault="003808AA" w:rsidP="00A4490B">
      <w:pPr>
        <w:pStyle w:val="Listeavsnitt"/>
        <w:numPr>
          <w:ilvl w:val="0"/>
          <w:numId w:val="2"/>
        </w:numPr>
      </w:pPr>
      <w:r>
        <w:t>Fakturering skal skje en gang per år, innen utgangen av april for alle bygg som er tatt i bruk på dette tidspunktet. For bygg som tas i bruk senere på året, foretas fakturering den måneden bygget faktisk tas i bruk. Tilsvarende gjelder for avgang av bygg.</w:t>
      </w:r>
    </w:p>
    <w:p w:rsidR="00835CD4" w:rsidRPr="00835CD4" w:rsidRDefault="003808AA" w:rsidP="00835CD4">
      <w:pPr>
        <w:pStyle w:val="Listeavsnitt"/>
        <w:rPr>
          <w:highlight w:val="lightGray"/>
        </w:rPr>
      </w:pPr>
      <w:r>
        <w:t>Det skal faktureres internhusleie for hvert enkelt bygg.</w:t>
      </w:r>
    </w:p>
    <w:p w:rsidR="00EA51AF" w:rsidRPr="00835CD4" w:rsidRDefault="00EA51AF" w:rsidP="00372E54">
      <w:pPr>
        <w:pStyle w:val="Listeavsnitt"/>
        <w:numPr>
          <w:ilvl w:val="0"/>
          <w:numId w:val="2"/>
        </w:numPr>
        <w:rPr>
          <w:highlight w:val="lightGray"/>
        </w:rPr>
      </w:pPr>
      <w:r>
        <w:t xml:space="preserve">Ved avhending av bygg, reduseres husleien tilsvarende både kapital og FDV-delen. </w:t>
      </w:r>
      <w:proofErr w:type="spellStart"/>
      <w:r>
        <w:t>Lånet</w:t>
      </w:r>
      <w:proofErr w:type="spellEnd"/>
      <w:r>
        <w:t xml:space="preserve"> reduseres med beløpet</w:t>
      </w:r>
      <w:r w:rsidRPr="0021112C">
        <w:t>, differansen føres som resultat gevinst/tap</w:t>
      </w:r>
      <w:r>
        <w:t xml:space="preserve">. Dersom gevinst skal tilbakeføres bykassen tas </w:t>
      </w:r>
      <w:r w:rsidR="0021112C">
        <w:t xml:space="preserve">dette </w:t>
      </w:r>
      <w:r>
        <w:t>som utbytte fra SEKF</w:t>
      </w:r>
      <w:r w:rsidR="006F2178">
        <w:t xml:space="preserve"> og behandles i årsoppgjørssaken</w:t>
      </w:r>
      <w:r>
        <w:t>.</w:t>
      </w:r>
      <w:r w:rsidR="00353CB0">
        <w:t xml:space="preserve"> </w:t>
      </w:r>
    </w:p>
    <w:p w:rsidR="00435BCC" w:rsidRDefault="00435BCC" w:rsidP="00A4490B">
      <w:pPr>
        <w:pStyle w:val="Listeavsnitt"/>
        <w:numPr>
          <w:ilvl w:val="0"/>
          <w:numId w:val="2"/>
        </w:numPr>
      </w:pPr>
      <w:r>
        <w:t>I tillegg til husleien tilkommer kostnader for renhold</w:t>
      </w:r>
      <w:r w:rsidR="00835CD4">
        <w:t xml:space="preserve"> og </w:t>
      </w:r>
      <w:r>
        <w:t>energi</w:t>
      </w:r>
      <w:r w:rsidR="00835CD4">
        <w:t>.</w:t>
      </w:r>
      <w:r w:rsidR="00222E91">
        <w:t xml:space="preserve"> </w:t>
      </w:r>
    </w:p>
    <w:p w:rsidR="00EA51AF" w:rsidRDefault="00EA51AF" w:rsidP="00EA51AF">
      <w:pPr>
        <w:ind w:left="360"/>
      </w:pPr>
    </w:p>
    <w:p w:rsidR="00A86DFB" w:rsidRDefault="00A86DFB" w:rsidP="00A86DFB"/>
    <w:p w:rsidR="00A86DFB" w:rsidRPr="007A6BF1" w:rsidRDefault="00A86DFB" w:rsidP="007A6BF1">
      <w:pPr>
        <w:rPr>
          <w:b/>
        </w:rPr>
      </w:pPr>
      <w:r w:rsidRPr="007A6BF1">
        <w:rPr>
          <w:b/>
        </w:rPr>
        <w:t>Beløper og budsjettjusteringer for internhusleie 2015</w:t>
      </w:r>
    </w:p>
    <w:p w:rsidR="007308FE" w:rsidRDefault="00A86DFB" w:rsidP="00A86DFB">
      <w:r>
        <w:t>Samlet bokført verdi</w:t>
      </w:r>
      <w:r w:rsidR="00347C31">
        <w:t>, inkludert tomter,</w:t>
      </w:r>
      <w:r>
        <w:t xml:space="preserve"> per 31.12.201</w:t>
      </w:r>
      <w:r w:rsidR="007308FE">
        <w:t>4</w:t>
      </w:r>
      <w:r>
        <w:t>, som det skal beregnes internhusleie av for 2015, er kr 3,</w:t>
      </w:r>
      <w:r w:rsidR="00AE0425">
        <w:t>51</w:t>
      </w:r>
      <w:r>
        <w:t xml:space="preserve"> milliarder.</w:t>
      </w:r>
      <w:r w:rsidR="007308FE">
        <w:t xml:space="preserve"> </w:t>
      </w:r>
      <w:r>
        <w:t xml:space="preserve">Internhusleiekostnadene blir </w:t>
      </w:r>
      <w:r w:rsidR="007308FE">
        <w:t xml:space="preserve">til sammen </w:t>
      </w:r>
      <w:r>
        <w:t xml:space="preserve">kr </w:t>
      </w:r>
      <w:r w:rsidR="0021112C">
        <w:t xml:space="preserve">231 527 713,- </w:t>
      </w:r>
      <w:r>
        <w:t xml:space="preserve"> tilsvarende </w:t>
      </w:r>
      <w:proofErr w:type="spellStart"/>
      <w:r>
        <w:t>SEKFs</w:t>
      </w:r>
      <w:proofErr w:type="spellEnd"/>
      <w:r>
        <w:t xml:space="preserve"> driftsbud</w:t>
      </w:r>
      <w:r w:rsidR="00353CB0">
        <w:t>sjett</w:t>
      </w:r>
      <w:r w:rsidR="0021112C">
        <w:t xml:space="preserve"> inklusive kapitalkostnader</w:t>
      </w:r>
      <w:r w:rsidR="00353CB0">
        <w:t xml:space="preserve">, sett bort fra renhold og </w:t>
      </w:r>
      <w:r>
        <w:t>energi.</w:t>
      </w:r>
      <w:r w:rsidR="007308FE">
        <w:t xml:space="preserve"> </w:t>
      </w:r>
    </w:p>
    <w:p w:rsidR="00A86DFB" w:rsidRDefault="007308FE" w:rsidP="00A86DFB">
      <w:r>
        <w:t>Regneark for beregning av internhusleien er vedlagt saken. I regnearket er sosiale boliger kun presentert i samlet sum da adressene for disse er unntatt offentlighet.</w:t>
      </w:r>
      <w:r w:rsidR="00A86DFB">
        <w:t xml:space="preserve"> </w:t>
      </w:r>
    </w:p>
    <w:p w:rsidR="00704AA6" w:rsidRDefault="00704AA6">
      <w:r>
        <w:br w:type="page"/>
      </w:r>
    </w:p>
    <w:p w:rsidR="00835CD4" w:rsidRDefault="00835CD4"/>
    <w:tbl>
      <w:tblPr>
        <w:tblW w:w="6675" w:type="dxa"/>
        <w:tblCellMar>
          <w:left w:w="70" w:type="dxa"/>
          <w:right w:w="70" w:type="dxa"/>
        </w:tblCellMar>
        <w:tblLook w:val="04A0" w:firstRow="1" w:lastRow="0" w:firstColumn="1" w:lastColumn="0" w:noHBand="0" w:noVBand="1"/>
      </w:tblPr>
      <w:tblGrid>
        <w:gridCol w:w="5139"/>
        <w:gridCol w:w="1536"/>
      </w:tblGrid>
      <w:tr w:rsidR="0021112C" w:rsidRPr="0021112C" w:rsidTr="0021112C">
        <w:trPr>
          <w:trHeight w:val="315"/>
        </w:trPr>
        <w:tc>
          <w:tcPr>
            <w:tcW w:w="5139" w:type="dxa"/>
            <w:tcBorders>
              <w:top w:val="nil"/>
              <w:left w:val="nil"/>
              <w:bottom w:val="nil"/>
              <w:right w:val="nil"/>
            </w:tcBorders>
            <w:shd w:val="clear" w:color="auto" w:fill="auto"/>
            <w:noWrap/>
            <w:vAlign w:val="bottom"/>
            <w:hideMark/>
          </w:tcPr>
          <w:p w:rsidR="0021112C" w:rsidRPr="0021112C" w:rsidRDefault="0021112C" w:rsidP="0021112C">
            <w:pPr>
              <w:spacing w:after="0" w:line="240" w:lineRule="auto"/>
              <w:rPr>
                <w:rFonts w:eastAsia="Times New Roman" w:cs="Times New Roman"/>
                <w:b/>
                <w:bCs/>
                <w:color w:val="000000"/>
                <w:lang w:eastAsia="nb-NO"/>
              </w:rPr>
            </w:pPr>
            <w:r w:rsidRPr="0021112C">
              <w:rPr>
                <w:rFonts w:eastAsia="Times New Roman" w:cs="Times New Roman"/>
                <w:b/>
                <w:bCs/>
                <w:color w:val="000000"/>
                <w:lang w:eastAsia="nb-NO"/>
              </w:rPr>
              <w:t>Totalkostnader</w:t>
            </w:r>
          </w:p>
        </w:tc>
        <w:tc>
          <w:tcPr>
            <w:tcW w:w="1536" w:type="dxa"/>
            <w:tcBorders>
              <w:top w:val="nil"/>
              <w:left w:val="nil"/>
              <w:bottom w:val="nil"/>
              <w:right w:val="nil"/>
            </w:tcBorders>
            <w:shd w:val="clear" w:color="auto" w:fill="auto"/>
            <w:noWrap/>
            <w:vAlign w:val="bottom"/>
            <w:hideMark/>
          </w:tcPr>
          <w:p w:rsidR="0021112C" w:rsidRPr="0021112C" w:rsidRDefault="0021112C" w:rsidP="0021112C">
            <w:pPr>
              <w:spacing w:after="0" w:line="240" w:lineRule="auto"/>
              <w:rPr>
                <w:rFonts w:eastAsia="Times New Roman" w:cs="Times New Roman"/>
                <w:b/>
                <w:bCs/>
                <w:color w:val="000000"/>
                <w:lang w:eastAsia="nb-NO"/>
              </w:rPr>
            </w:pPr>
          </w:p>
        </w:tc>
      </w:tr>
      <w:tr w:rsidR="0021112C" w:rsidRPr="0021112C" w:rsidTr="0021112C">
        <w:trPr>
          <w:trHeight w:val="315"/>
        </w:trPr>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12C" w:rsidRPr="0021112C" w:rsidRDefault="0021112C" w:rsidP="0021112C">
            <w:pPr>
              <w:spacing w:after="0" w:line="240" w:lineRule="auto"/>
              <w:rPr>
                <w:rFonts w:eastAsia="Times New Roman" w:cs="Times New Roman"/>
                <w:color w:val="000000"/>
                <w:lang w:eastAsia="nb-NO"/>
              </w:rPr>
            </w:pPr>
            <w:r w:rsidRPr="0021112C">
              <w:rPr>
                <w:rFonts w:eastAsia="Times New Roman" w:cs="Times New Roman"/>
                <w:color w:val="000000"/>
                <w:lang w:eastAsia="nb-NO"/>
              </w:rPr>
              <w:t>Samlet husleie fra Sandnes kommune, Kapital</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21112C" w:rsidRPr="0021112C" w:rsidRDefault="0021112C" w:rsidP="0021112C">
            <w:pPr>
              <w:spacing w:after="0" w:line="240" w:lineRule="auto"/>
              <w:rPr>
                <w:rFonts w:eastAsia="Times New Roman" w:cs="Times New Roman"/>
                <w:color w:val="000000"/>
                <w:lang w:eastAsia="nb-NO"/>
              </w:rPr>
            </w:pPr>
            <w:r w:rsidRPr="0021112C">
              <w:rPr>
                <w:rFonts w:eastAsia="Times New Roman" w:cs="Times New Roman"/>
                <w:color w:val="000000"/>
                <w:lang w:eastAsia="nb-NO"/>
              </w:rPr>
              <w:t xml:space="preserve">   176 954 147 </w:t>
            </w:r>
          </w:p>
        </w:tc>
      </w:tr>
      <w:tr w:rsidR="0021112C" w:rsidRPr="0021112C" w:rsidTr="0021112C">
        <w:trPr>
          <w:trHeight w:val="31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21112C" w:rsidRPr="0021112C" w:rsidRDefault="0021112C" w:rsidP="0021112C">
            <w:pPr>
              <w:spacing w:after="0" w:line="240" w:lineRule="auto"/>
              <w:rPr>
                <w:rFonts w:eastAsia="Times New Roman" w:cs="Times New Roman"/>
                <w:color w:val="000000"/>
                <w:lang w:eastAsia="nb-NO"/>
              </w:rPr>
            </w:pPr>
            <w:r w:rsidRPr="0021112C">
              <w:rPr>
                <w:rFonts w:eastAsia="Times New Roman" w:cs="Times New Roman"/>
                <w:color w:val="000000"/>
                <w:lang w:eastAsia="nb-NO"/>
              </w:rPr>
              <w:t>Samlet husleie fra Sandnes kommune, FDV generell</w:t>
            </w:r>
          </w:p>
        </w:tc>
        <w:tc>
          <w:tcPr>
            <w:tcW w:w="1536" w:type="dxa"/>
            <w:tcBorders>
              <w:top w:val="nil"/>
              <w:left w:val="nil"/>
              <w:bottom w:val="single" w:sz="4" w:space="0" w:color="auto"/>
              <w:right w:val="single" w:sz="4" w:space="0" w:color="auto"/>
            </w:tcBorders>
            <w:shd w:val="clear" w:color="auto" w:fill="auto"/>
            <w:noWrap/>
            <w:vAlign w:val="bottom"/>
            <w:hideMark/>
          </w:tcPr>
          <w:p w:rsidR="0021112C" w:rsidRPr="0021112C" w:rsidRDefault="0021112C" w:rsidP="0021112C">
            <w:pPr>
              <w:spacing w:after="0" w:line="240" w:lineRule="auto"/>
              <w:rPr>
                <w:rFonts w:eastAsia="Times New Roman" w:cs="Times New Roman"/>
                <w:color w:val="000000"/>
                <w:lang w:eastAsia="nb-NO"/>
              </w:rPr>
            </w:pPr>
            <w:r w:rsidRPr="0021112C">
              <w:rPr>
                <w:rFonts w:eastAsia="Times New Roman" w:cs="Times New Roman"/>
                <w:color w:val="000000"/>
                <w:lang w:eastAsia="nb-NO"/>
              </w:rPr>
              <w:t xml:space="preserve">     37 891 243 </w:t>
            </w:r>
          </w:p>
        </w:tc>
      </w:tr>
      <w:tr w:rsidR="0021112C" w:rsidRPr="0021112C" w:rsidTr="0021112C">
        <w:trPr>
          <w:trHeight w:val="31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21112C" w:rsidRPr="0021112C" w:rsidRDefault="0021112C" w:rsidP="0021112C">
            <w:pPr>
              <w:spacing w:after="0" w:line="240" w:lineRule="auto"/>
              <w:rPr>
                <w:rFonts w:eastAsia="Times New Roman" w:cs="Times New Roman"/>
                <w:color w:val="000000"/>
                <w:lang w:eastAsia="nb-NO"/>
              </w:rPr>
            </w:pPr>
            <w:r w:rsidRPr="0021112C">
              <w:rPr>
                <w:rFonts w:eastAsia="Times New Roman" w:cs="Times New Roman"/>
                <w:color w:val="000000"/>
                <w:lang w:eastAsia="nb-NO"/>
              </w:rPr>
              <w:t>Husleie, andel driftsavtaler</w:t>
            </w:r>
          </w:p>
        </w:tc>
        <w:tc>
          <w:tcPr>
            <w:tcW w:w="1536" w:type="dxa"/>
            <w:tcBorders>
              <w:top w:val="nil"/>
              <w:left w:val="nil"/>
              <w:bottom w:val="single" w:sz="4" w:space="0" w:color="auto"/>
              <w:right w:val="single" w:sz="4" w:space="0" w:color="auto"/>
            </w:tcBorders>
            <w:shd w:val="clear" w:color="auto" w:fill="auto"/>
            <w:noWrap/>
            <w:vAlign w:val="bottom"/>
            <w:hideMark/>
          </w:tcPr>
          <w:p w:rsidR="0021112C" w:rsidRPr="0021112C" w:rsidRDefault="0021112C" w:rsidP="0021112C">
            <w:pPr>
              <w:spacing w:after="0" w:line="240" w:lineRule="auto"/>
              <w:rPr>
                <w:rFonts w:eastAsia="Times New Roman" w:cs="Times New Roman"/>
                <w:color w:val="000000"/>
                <w:lang w:eastAsia="nb-NO"/>
              </w:rPr>
            </w:pPr>
            <w:r w:rsidRPr="0021112C">
              <w:rPr>
                <w:rFonts w:eastAsia="Times New Roman" w:cs="Times New Roman"/>
                <w:color w:val="000000"/>
                <w:lang w:eastAsia="nb-NO"/>
              </w:rPr>
              <w:t xml:space="preserve">     16 682 323 </w:t>
            </w:r>
          </w:p>
        </w:tc>
      </w:tr>
      <w:tr w:rsidR="0021112C" w:rsidRPr="0021112C" w:rsidTr="0021112C">
        <w:trPr>
          <w:trHeight w:val="31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21112C" w:rsidRPr="0021112C" w:rsidRDefault="0021112C" w:rsidP="0021112C">
            <w:pPr>
              <w:spacing w:after="0" w:line="240" w:lineRule="auto"/>
              <w:rPr>
                <w:rFonts w:eastAsia="Times New Roman" w:cs="Times New Roman"/>
                <w:color w:val="000000"/>
                <w:lang w:eastAsia="nb-NO"/>
              </w:rPr>
            </w:pPr>
            <w:r w:rsidRPr="0021112C">
              <w:rPr>
                <w:rFonts w:eastAsia="Times New Roman" w:cs="Times New Roman"/>
                <w:color w:val="000000"/>
                <w:lang w:eastAsia="nb-NO"/>
              </w:rPr>
              <w:t>Sum husleie</w:t>
            </w:r>
          </w:p>
        </w:tc>
        <w:tc>
          <w:tcPr>
            <w:tcW w:w="1536" w:type="dxa"/>
            <w:tcBorders>
              <w:top w:val="nil"/>
              <w:left w:val="nil"/>
              <w:bottom w:val="single" w:sz="4" w:space="0" w:color="auto"/>
              <w:right w:val="single" w:sz="4" w:space="0" w:color="auto"/>
            </w:tcBorders>
            <w:shd w:val="clear" w:color="auto" w:fill="auto"/>
            <w:noWrap/>
            <w:vAlign w:val="bottom"/>
            <w:hideMark/>
          </w:tcPr>
          <w:p w:rsidR="0021112C" w:rsidRPr="0021112C" w:rsidRDefault="0021112C" w:rsidP="0021112C">
            <w:pPr>
              <w:spacing w:after="0" w:line="240" w:lineRule="auto"/>
              <w:rPr>
                <w:rFonts w:eastAsia="Times New Roman" w:cs="Times New Roman"/>
                <w:color w:val="000000"/>
                <w:lang w:eastAsia="nb-NO"/>
              </w:rPr>
            </w:pPr>
            <w:r w:rsidRPr="0021112C">
              <w:rPr>
                <w:rFonts w:eastAsia="Times New Roman" w:cs="Times New Roman"/>
                <w:color w:val="000000"/>
                <w:lang w:eastAsia="nb-NO"/>
              </w:rPr>
              <w:t xml:space="preserve">   231 527 713 </w:t>
            </w:r>
          </w:p>
        </w:tc>
      </w:tr>
      <w:tr w:rsidR="0021112C" w:rsidRPr="0021112C" w:rsidTr="0021112C">
        <w:trPr>
          <w:trHeight w:val="31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21112C" w:rsidRPr="0021112C" w:rsidRDefault="0021112C" w:rsidP="0021112C">
            <w:pPr>
              <w:spacing w:after="0" w:line="240" w:lineRule="auto"/>
              <w:rPr>
                <w:rFonts w:eastAsia="Times New Roman" w:cs="Times New Roman"/>
                <w:color w:val="000000"/>
                <w:lang w:eastAsia="nb-NO"/>
              </w:rPr>
            </w:pPr>
            <w:r w:rsidRPr="0021112C">
              <w:rPr>
                <w:rFonts w:eastAsia="Times New Roman" w:cs="Times New Roman"/>
                <w:color w:val="000000"/>
                <w:lang w:eastAsia="nb-NO"/>
              </w:rPr>
              <w:t>Kapitalkostnader som SEKF skal betale til bykassen</w:t>
            </w:r>
          </w:p>
        </w:tc>
        <w:tc>
          <w:tcPr>
            <w:tcW w:w="1536" w:type="dxa"/>
            <w:tcBorders>
              <w:top w:val="nil"/>
              <w:left w:val="nil"/>
              <w:bottom w:val="single" w:sz="4" w:space="0" w:color="auto"/>
              <w:right w:val="single" w:sz="4" w:space="0" w:color="auto"/>
            </w:tcBorders>
            <w:shd w:val="clear" w:color="auto" w:fill="auto"/>
            <w:noWrap/>
            <w:vAlign w:val="bottom"/>
            <w:hideMark/>
          </w:tcPr>
          <w:p w:rsidR="0021112C" w:rsidRPr="0021112C" w:rsidRDefault="0021112C" w:rsidP="0021112C">
            <w:pPr>
              <w:spacing w:after="0" w:line="240" w:lineRule="auto"/>
              <w:rPr>
                <w:rFonts w:eastAsia="Times New Roman" w:cs="Times New Roman"/>
                <w:color w:val="000000"/>
                <w:lang w:eastAsia="nb-NO"/>
              </w:rPr>
            </w:pPr>
            <w:r w:rsidRPr="0021112C">
              <w:rPr>
                <w:rFonts w:eastAsia="Times New Roman" w:cs="Times New Roman"/>
                <w:color w:val="000000"/>
                <w:lang w:eastAsia="nb-NO"/>
              </w:rPr>
              <w:t xml:space="preserve"> -176 954 147 </w:t>
            </w:r>
          </w:p>
        </w:tc>
      </w:tr>
      <w:tr w:rsidR="0021112C" w:rsidRPr="0021112C" w:rsidTr="0021112C">
        <w:trPr>
          <w:trHeight w:val="31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21112C" w:rsidRPr="0021112C" w:rsidRDefault="0021112C" w:rsidP="0021112C">
            <w:pPr>
              <w:spacing w:after="0" w:line="240" w:lineRule="auto"/>
              <w:rPr>
                <w:rFonts w:eastAsia="Times New Roman" w:cs="Times New Roman"/>
                <w:color w:val="000000"/>
                <w:lang w:eastAsia="nb-NO"/>
              </w:rPr>
            </w:pPr>
            <w:r w:rsidRPr="0021112C">
              <w:rPr>
                <w:rFonts w:eastAsia="Times New Roman" w:cs="Times New Roman"/>
                <w:color w:val="000000"/>
                <w:lang w:eastAsia="nb-NO"/>
              </w:rPr>
              <w:t>= Husleiedel som skal dekke driftsbudsjett hos SEKF</w:t>
            </w:r>
          </w:p>
        </w:tc>
        <w:tc>
          <w:tcPr>
            <w:tcW w:w="1536" w:type="dxa"/>
            <w:tcBorders>
              <w:top w:val="nil"/>
              <w:left w:val="nil"/>
              <w:bottom w:val="single" w:sz="4" w:space="0" w:color="auto"/>
              <w:right w:val="single" w:sz="4" w:space="0" w:color="auto"/>
            </w:tcBorders>
            <w:shd w:val="clear" w:color="auto" w:fill="auto"/>
            <w:noWrap/>
            <w:vAlign w:val="bottom"/>
            <w:hideMark/>
          </w:tcPr>
          <w:p w:rsidR="0021112C" w:rsidRPr="0021112C" w:rsidRDefault="0021112C" w:rsidP="0021112C">
            <w:pPr>
              <w:spacing w:after="0" w:line="240" w:lineRule="auto"/>
              <w:rPr>
                <w:rFonts w:eastAsia="Times New Roman" w:cs="Times New Roman"/>
                <w:color w:val="000000"/>
                <w:lang w:eastAsia="nb-NO"/>
              </w:rPr>
            </w:pPr>
            <w:r w:rsidRPr="0021112C">
              <w:rPr>
                <w:rFonts w:eastAsia="Times New Roman" w:cs="Times New Roman"/>
                <w:color w:val="000000"/>
                <w:lang w:eastAsia="nb-NO"/>
              </w:rPr>
              <w:t xml:space="preserve">     54 573 566 </w:t>
            </w:r>
          </w:p>
        </w:tc>
      </w:tr>
    </w:tbl>
    <w:p w:rsidR="00856BD0" w:rsidRPr="003B2271" w:rsidRDefault="00856BD0"/>
    <w:p w:rsidR="00856BD0" w:rsidRDefault="00856BD0" w:rsidP="00856BD0">
      <w:pPr>
        <w:rPr>
          <w:b/>
          <w:sz w:val="28"/>
          <w:szCs w:val="28"/>
          <w:u w:val="single"/>
        </w:rPr>
      </w:pPr>
      <w:r w:rsidRPr="00720FD8">
        <w:rPr>
          <w:b/>
          <w:sz w:val="28"/>
          <w:szCs w:val="28"/>
          <w:u w:val="single"/>
        </w:rPr>
        <w:t>Vurderinger:</w:t>
      </w:r>
    </w:p>
    <w:p w:rsidR="00856BD0" w:rsidRPr="003B2271" w:rsidRDefault="00856BD0" w:rsidP="00856BD0">
      <w:pPr>
        <w:rPr>
          <w:rFonts w:cs="Times New Roman"/>
        </w:rPr>
      </w:pPr>
      <w:r w:rsidRPr="003B2271">
        <w:rPr>
          <w:rFonts w:cs="Times New Roman"/>
        </w:rPr>
        <w:t>Som vist i SEKF sak 150-15 er det mulig å tolke vedtaket gjort i bystyresak 169/14 på ulike måter. For nye bygg ferdigstilt etter 01.01.2015 er vedtaket greit, men for eldre bygg er det ulik tolkning. Etter daglig leder sin vurdering (alt 1) skal kapitalelementet for denne bygningsmassen prises i 2015 slik at de dekker løpende renter og avdrag pr. 01.01.2015, for deretter å låses ved beregning av internhusleien med tillegg for 100 % KPI. Dette vil i så fall gi en differanse mellom betalt husleie og kapitalkostnader over tid, som er tenkt å komme bygningsmassen til gode gjennom økt vedlikehold. Dette samsvarer også med styrevedtak i sak 71- 14 i SEKF. Den andre tolkningen (alt 2) gå</w:t>
      </w:r>
      <w:r w:rsidR="006323F3" w:rsidRPr="003B2271">
        <w:rPr>
          <w:rFonts w:cs="Times New Roman"/>
        </w:rPr>
        <w:t>r</w:t>
      </w:r>
      <w:r w:rsidRPr="003B2271">
        <w:rPr>
          <w:rFonts w:cs="Times New Roman"/>
        </w:rPr>
        <w:t xml:space="preserve"> ut på at husleien reduseres hvert år i takt med nedbetaling av lånene. Det er også her sagt at denne skal 100 % KPI justeres. Nedenfor </w:t>
      </w:r>
      <w:r w:rsidR="006323F3" w:rsidRPr="003B2271">
        <w:rPr>
          <w:rFonts w:cs="Times New Roman"/>
        </w:rPr>
        <w:t>e</w:t>
      </w:r>
      <w:r w:rsidRPr="003B2271">
        <w:rPr>
          <w:rFonts w:cs="Times New Roman"/>
        </w:rPr>
        <w:t xml:space="preserve">r et eksempel på hvordan de to alternativene slår ut i praksis for et enkelt bygg (Austrått barnehage): </w:t>
      </w:r>
    </w:p>
    <w:p w:rsidR="00856BD0" w:rsidRPr="003B2271" w:rsidRDefault="00856BD0"/>
    <w:p w:rsidR="00EA53E4" w:rsidRPr="003B2271" w:rsidRDefault="00EA53E4">
      <w:pPr>
        <w:rPr>
          <w:b/>
        </w:rPr>
      </w:pPr>
      <w:r w:rsidRPr="003B2271">
        <w:rPr>
          <w:b/>
        </w:rPr>
        <w:t>Husleie 2015:</w:t>
      </w:r>
    </w:p>
    <w:tbl>
      <w:tblPr>
        <w:tblStyle w:val="Tabellrutenett"/>
        <w:tblW w:w="0" w:type="auto"/>
        <w:tblLook w:val="04A0" w:firstRow="1" w:lastRow="0" w:firstColumn="1" w:lastColumn="0" w:noHBand="0" w:noVBand="1"/>
      </w:tblPr>
      <w:tblGrid>
        <w:gridCol w:w="4531"/>
        <w:gridCol w:w="4531"/>
      </w:tblGrid>
      <w:tr w:rsidR="00EA53E4" w:rsidRPr="003B2271" w:rsidTr="00EA53E4">
        <w:tc>
          <w:tcPr>
            <w:tcW w:w="4531" w:type="dxa"/>
          </w:tcPr>
          <w:p w:rsidR="00EA53E4" w:rsidRPr="003B2271" w:rsidRDefault="00EA53E4" w:rsidP="00EA53E4">
            <w:pPr>
              <w:rPr>
                <w:b/>
              </w:rPr>
            </w:pPr>
            <w:r w:rsidRPr="003B2271">
              <w:rPr>
                <w:b/>
              </w:rPr>
              <w:t>Austrått barnehage</w:t>
            </w:r>
          </w:p>
        </w:tc>
        <w:tc>
          <w:tcPr>
            <w:tcW w:w="4531" w:type="dxa"/>
          </w:tcPr>
          <w:p w:rsidR="00EA53E4" w:rsidRPr="003B2271" w:rsidRDefault="00EA53E4">
            <w:pPr>
              <w:rPr>
                <w:b/>
              </w:rPr>
            </w:pPr>
            <w:r w:rsidRPr="003B2271">
              <w:rPr>
                <w:b/>
              </w:rPr>
              <w:t>Beløp</w:t>
            </w:r>
          </w:p>
        </w:tc>
      </w:tr>
      <w:tr w:rsidR="00EA53E4" w:rsidRPr="003B2271" w:rsidTr="00EA53E4">
        <w:tc>
          <w:tcPr>
            <w:tcW w:w="4531" w:type="dxa"/>
          </w:tcPr>
          <w:p w:rsidR="00EA53E4" w:rsidRPr="003B2271" w:rsidRDefault="00EA53E4">
            <w:r w:rsidRPr="003B2271">
              <w:t>Bokført verdi 01.01.2015</w:t>
            </w:r>
          </w:p>
        </w:tc>
        <w:tc>
          <w:tcPr>
            <w:tcW w:w="4531" w:type="dxa"/>
          </w:tcPr>
          <w:p w:rsidR="00EA53E4" w:rsidRPr="003B2271" w:rsidRDefault="00EA53E4" w:rsidP="00EF5C82">
            <w:pPr>
              <w:jc w:val="right"/>
              <w:rPr>
                <w:rFonts w:cs="Arial"/>
                <w:color w:val="000000"/>
              </w:rPr>
            </w:pPr>
            <w:r w:rsidRPr="003B2271">
              <w:rPr>
                <w:rFonts w:cs="Arial"/>
                <w:color w:val="000000"/>
              </w:rPr>
              <w:t>11 227 132</w:t>
            </w:r>
          </w:p>
          <w:p w:rsidR="00EA53E4" w:rsidRPr="003B2271" w:rsidRDefault="00EA53E4" w:rsidP="00EF5C82">
            <w:pPr>
              <w:jc w:val="right"/>
            </w:pPr>
          </w:p>
        </w:tc>
      </w:tr>
      <w:tr w:rsidR="00EA53E4" w:rsidRPr="003B2271" w:rsidTr="00EA53E4">
        <w:tc>
          <w:tcPr>
            <w:tcW w:w="4531" w:type="dxa"/>
          </w:tcPr>
          <w:p w:rsidR="00EA53E4" w:rsidRPr="003B2271" w:rsidRDefault="00EA53E4">
            <w:r w:rsidRPr="003B2271">
              <w:t>Husleie kapital</w:t>
            </w:r>
          </w:p>
        </w:tc>
        <w:tc>
          <w:tcPr>
            <w:tcW w:w="4531" w:type="dxa"/>
          </w:tcPr>
          <w:p w:rsidR="00EA53E4" w:rsidRPr="003B2271" w:rsidRDefault="00EA53E4" w:rsidP="00EF5C82">
            <w:pPr>
              <w:jc w:val="right"/>
              <w:rPr>
                <w:rFonts w:cs="Arial"/>
                <w:color w:val="000000"/>
              </w:rPr>
            </w:pPr>
            <w:r w:rsidRPr="003B2271">
              <w:rPr>
                <w:rFonts w:cs="Arial"/>
                <w:color w:val="000000"/>
              </w:rPr>
              <w:t>561 357</w:t>
            </w:r>
          </w:p>
          <w:p w:rsidR="00EA53E4" w:rsidRPr="003B2271" w:rsidRDefault="00EA53E4" w:rsidP="00EF5C82">
            <w:pPr>
              <w:jc w:val="right"/>
            </w:pPr>
          </w:p>
        </w:tc>
      </w:tr>
      <w:tr w:rsidR="00EA53E4" w:rsidRPr="003B2271" w:rsidTr="00EA53E4">
        <w:tc>
          <w:tcPr>
            <w:tcW w:w="4531" w:type="dxa"/>
          </w:tcPr>
          <w:p w:rsidR="00EA53E4" w:rsidRPr="003B2271" w:rsidRDefault="00EA53E4">
            <w:r w:rsidRPr="003B2271">
              <w:t>Husleie FDV</w:t>
            </w:r>
          </w:p>
        </w:tc>
        <w:tc>
          <w:tcPr>
            <w:tcW w:w="4531" w:type="dxa"/>
          </w:tcPr>
          <w:p w:rsidR="00EA53E4" w:rsidRPr="003B2271" w:rsidRDefault="00EA53E4" w:rsidP="00EF5C82">
            <w:pPr>
              <w:jc w:val="right"/>
              <w:rPr>
                <w:rFonts w:cs="Arial"/>
                <w:color w:val="000000"/>
              </w:rPr>
            </w:pPr>
            <w:r w:rsidRPr="003B2271">
              <w:rPr>
                <w:rFonts w:cs="Arial"/>
                <w:color w:val="000000"/>
              </w:rPr>
              <w:t>78 755</w:t>
            </w:r>
          </w:p>
          <w:p w:rsidR="00EA53E4" w:rsidRPr="003B2271" w:rsidRDefault="00EA53E4" w:rsidP="00EF5C82">
            <w:pPr>
              <w:jc w:val="right"/>
            </w:pPr>
          </w:p>
        </w:tc>
      </w:tr>
      <w:tr w:rsidR="00E271DF" w:rsidRPr="003B2271" w:rsidTr="00EA53E4">
        <w:tc>
          <w:tcPr>
            <w:tcW w:w="4531" w:type="dxa"/>
          </w:tcPr>
          <w:p w:rsidR="00E271DF" w:rsidRPr="003B2271" w:rsidRDefault="00E271DF">
            <w:r w:rsidRPr="003B2271">
              <w:t>Total husleie</w:t>
            </w:r>
          </w:p>
        </w:tc>
        <w:tc>
          <w:tcPr>
            <w:tcW w:w="4531" w:type="dxa"/>
          </w:tcPr>
          <w:p w:rsidR="00E271DF" w:rsidRPr="003B2271" w:rsidRDefault="00E271DF" w:rsidP="00EF5C82">
            <w:pPr>
              <w:jc w:val="right"/>
              <w:rPr>
                <w:rFonts w:cs="Arial"/>
                <w:color w:val="000000"/>
              </w:rPr>
            </w:pPr>
            <w:r w:rsidRPr="003B2271">
              <w:rPr>
                <w:rFonts w:cs="Arial"/>
                <w:color w:val="000000"/>
              </w:rPr>
              <w:t>640</w:t>
            </w:r>
            <w:r w:rsidR="00EF5C82" w:rsidRPr="003B2271">
              <w:rPr>
                <w:rFonts w:cs="Arial"/>
                <w:color w:val="000000"/>
              </w:rPr>
              <w:t xml:space="preserve"> </w:t>
            </w:r>
            <w:r w:rsidRPr="003B2271">
              <w:rPr>
                <w:rFonts w:cs="Arial"/>
                <w:color w:val="000000"/>
              </w:rPr>
              <w:t>111</w:t>
            </w:r>
          </w:p>
        </w:tc>
      </w:tr>
    </w:tbl>
    <w:p w:rsidR="00E271DF" w:rsidRPr="003B2271" w:rsidRDefault="00E271DF"/>
    <w:p w:rsidR="00856BD0" w:rsidRPr="003B2271" w:rsidRDefault="00856BD0" w:rsidP="00856BD0">
      <w:pPr>
        <w:rPr>
          <w:b/>
        </w:rPr>
      </w:pPr>
      <w:r w:rsidRPr="003B2271">
        <w:rPr>
          <w:b/>
        </w:rPr>
        <w:t>Husleie 2016 alt. 1</w:t>
      </w:r>
      <w:r w:rsidR="00835CD4" w:rsidRPr="003B2271">
        <w:rPr>
          <w:b/>
        </w:rPr>
        <w:t xml:space="preserve"> (Fast husleie, 100 % KPI justering)</w:t>
      </w:r>
    </w:p>
    <w:tbl>
      <w:tblPr>
        <w:tblStyle w:val="Tabellrutenett"/>
        <w:tblW w:w="0" w:type="auto"/>
        <w:tblLook w:val="04A0" w:firstRow="1" w:lastRow="0" w:firstColumn="1" w:lastColumn="0" w:noHBand="0" w:noVBand="1"/>
      </w:tblPr>
      <w:tblGrid>
        <w:gridCol w:w="4531"/>
        <w:gridCol w:w="4531"/>
      </w:tblGrid>
      <w:tr w:rsidR="00856BD0" w:rsidRPr="003B2271" w:rsidTr="008E0D4F">
        <w:tc>
          <w:tcPr>
            <w:tcW w:w="4531" w:type="dxa"/>
          </w:tcPr>
          <w:p w:rsidR="00856BD0" w:rsidRPr="003B2271" w:rsidRDefault="00856BD0" w:rsidP="008E0D4F">
            <w:pPr>
              <w:rPr>
                <w:b/>
              </w:rPr>
            </w:pPr>
            <w:r w:rsidRPr="003B2271">
              <w:rPr>
                <w:b/>
              </w:rPr>
              <w:t>Austrått barnehage</w:t>
            </w:r>
          </w:p>
        </w:tc>
        <w:tc>
          <w:tcPr>
            <w:tcW w:w="4531" w:type="dxa"/>
          </w:tcPr>
          <w:p w:rsidR="00856BD0" w:rsidRPr="003B2271" w:rsidRDefault="00856BD0" w:rsidP="008E0D4F">
            <w:pPr>
              <w:rPr>
                <w:b/>
              </w:rPr>
            </w:pPr>
            <w:r w:rsidRPr="003B2271">
              <w:rPr>
                <w:b/>
              </w:rPr>
              <w:t>Beløp</w:t>
            </w:r>
          </w:p>
        </w:tc>
      </w:tr>
      <w:tr w:rsidR="00856BD0" w:rsidRPr="003B2271" w:rsidTr="008E0D4F">
        <w:tc>
          <w:tcPr>
            <w:tcW w:w="4531" w:type="dxa"/>
          </w:tcPr>
          <w:p w:rsidR="00856BD0" w:rsidRPr="003B2271" w:rsidRDefault="00856BD0" w:rsidP="008E0D4F">
            <w:r w:rsidRPr="003B2271">
              <w:t>Bokført verdi 01.01.2015</w:t>
            </w:r>
          </w:p>
        </w:tc>
        <w:tc>
          <w:tcPr>
            <w:tcW w:w="4531" w:type="dxa"/>
          </w:tcPr>
          <w:p w:rsidR="00856BD0" w:rsidRPr="003B2271" w:rsidRDefault="00856BD0" w:rsidP="00EF5C82">
            <w:pPr>
              <w:jc w:val="right"/>
              <w:rPr>
                <w:rFonts w:cs="Arial"/>
                <w:color w:val="000000"/>
              </w:rPr>
            </w:pPr>
            <w:r w:rsidRPr="003B2271">
              <w:rPr>
                <w:rFonts w:cs="Arial"/>
                <w:color w:val="000000"/>
              </w:rPr>
              <w:t>11 227 132</w:t>
            </w:r>
          </w:p>
          <w:p w:rsidR="00856BD0" w:rsidRPr="003B2271" w:rsidRDefault="00856BD0" w:rsidP="00EF5C82">
            <w:pPr>
              <w:jc w:val="right"/>
            </w:pPr>
          </w:p>
        </w:tc>
      </w:tr>
      <w:tr w:rsidR="00856BD0" w:rsidRPr="003B2271" w:rsidTr="008E0D4F">
        <w:tc>
          <w:tcPr>
            <w:tcW w:w="4531" w:type="dxa"/>
          </w:tcPr>
          <w:p w:rsidR="00856BD0" w:rsidRPr="003B2271" w:rsidRDefault="00856BD0" w:rsidP="008E0D4F">
            <w:r w:rsidRPr="003B2271">
              <w:t>KPI beregningsgrunnlag</w:t>
            </w:r>
          </w:p>
        </w:tc>
        <w:tc>
          <w:tcPr>
            <w:tcW w:w="4531" w:type="dxa"/>
          </w:tcPr>
          <w:p w:rsidR="00856BD0" w:rsidRPr="003B2271" w:rsidRDefault="00856BD0" w:rsidP="00EF5C82">
            <w:pPr>
              <w:jc w:val="right"/>
              <w:rPr>
                <w:rFonts w:cs="Arial"/>
                <w:color w:val="000000"/>
              </w:rPr>
            </w:pPr>
            <w:r w:rsidRPr="003B2271">
              <w:rPr>
                <w:rFonts w:cs="Arial"/>
                <w:color w:val="000000"/>
              </w:rPr>
              <w:t>224</w:t>
            </w:r>
            <w:r w:rsidR="00EF5C82" w:rsidRPr="003B2271">
              <w:rPr>
                <w:rFonts w:cs="Arial"/>
                <w:color w:val="000000"/>
              </w:rPr>
              <w:t xml:space="preserve"> </w:t>
            </w:r>
            <w:r w:rsidRPr="003B2271">
              <w:rPr>
                <w:rFonts w:cs="Arial"/>
                <w:color w:val="000000"/>
              </w:rPr>
              <w:t>543</w:t>
            </w:r>
          </w:p>
          <w:p w:rsidR="00856BD0" w:rsidRPr="003B2271" w:rsidRDefault="00856BD0" w:rsidP="00EF5C82">
            <w:pPr>
              <w:jc w:val="right"/>
            </w:pPr>
          </w:p>
        </w:tc>
      </w:tr>
      <w:tr w:rsidR="00856BD0" w:rsidRPr="003B2271" w:rsidTr="008E0D4F">
        <w:tc>
          <w:tcPr>
            <w:tcW w:w="4531" w:type="dxa"/>
          </w:tcPr>
          <w:p w:rsidR="00856BD0" w:rsidRPr="003B2271" w:rsidRDefault="00856BD0" w:rsidP="008E0D4F">
            <w:r w:rsidRPr="003B2271">
              <w:t>Husleie kapital</w:t>
            </w:r>
            <w:r w:rsidR="001353D6" w:rsidRPr="003B2271">
              <w:t xml:space="preserve"> KPI - justert</w:t>
            </w:r>
          </w:p>
        </w:tc>
        <w:tc>
          <w:tcPr>
            <w:tcW w:w="4531" w:type="dxa"/>
          </w:tcPr>
          <w:p w:rsidR="00856BD0" w:rsidRPr="003B2271" w:rsidRDefault="00856BD0" w:rsidP="00EF5C82">
            <w:pPr>
              <w:jc w:val="right"/>
              <w:rPr>
                <w:rFonts w:cs="Arial"/>
                <w:color w:val="000000"/>
              </w:rPr>
            </w:pPr>
            <w:r w:rsidRPr="003B2271">
              <w:rPr>
                <w:rFonts w:cs="Arial"/>
                <w:color w:val="000000"/>
              </w:rPr>
              <w:t>572</w:t>
            </w:r>
            <w:r w:rsidR="00EF5C82" w:rsidRPr="003B2271">
              <w:rPr>
                <w:rFonts w:cs="Arial"/>
                <w:color w:val="000000"/>
              </w:rPr>
              <w:t xml:space="preserve"> </w:t>
            </w:r>
            <w:r w:rsidRPr="003B2271">
              <w:rPr>
                <w:rFonts w:cs="Arial"/>
                <w:color w:val="000000"/>
              </w:rPr>
              <w:t>584</w:t>
            </w:r>
          </w:p>
        </w:tc>
      </w:tr>
      <w:tr w:rsidR="00856BD0" w:rsidRPr="003B2271" w:rsidTr="008E0D4F">
        <w:tc>
          <w:tcPr>
            <w:tcW w:w="4531" w:type="dxa"/>
          </w:tcPr>
          <w:p w:rsidR="00856BD0" w:rsidRPr="003B2271" w:rsidRDefault="00856BD0" w:rsidP="008E0D4F">
            <w:r w:rsidRPr="003B2271">
              <w:t>Husleie FDV</w:t>
            </w:r>
          </w:p>
        </w:tc>
        <w:tc>
          <w:tcPr>
            <w:tcW w:w="4531" w:type="dxa"/>
          </w:tcPr>
          <w:p w:rsidR="00856BD0" w:rsidRPr="003B2271" w:rsidRDefault="00856BD0" w:rsidP="00EF5C82">
            <w:pPr>
              <w:jc w:val="right"/>
              <w:rPr>
                <w:rFonts w:cs="Arial"/>
                <w:color w:val="000000"/>
              </w:rPr>
            </w:pPr>
            <w:r w:rsidRPr="003B2271">
              <w:rPr>
                <w:rFonts w:cs="Arial"/>
                <w:color w:val="000000"/>
              </w:rPr>
              <w:t>80</w:t>
            </w:r>
            <w:r w:rsidR="00EF5C82" w:rsidRPr="003B2271">
              <w:rPr>
                <w:rFonts w:cs="Arial"/>
                <w:color w:val="000000"/>
              </w:rPr>
              <w:t xml:space="preserve"> </w:t>
            </w:r>
            <w:r w:rsidRPr="003B2271">
              <w:rPr>
                <w:rFonts w:cs="Arial"/>
                <w:color w:val="000000"/>
              </w:rPr>
              <w:t>330</w:t>
            </w:r>
          </w:p>
        </w:tc>
      </w:tr>
      <w:tr w:rsidR="00856BD0" w:rsidRPr="003B2271" w:rsidTr="008E0D4F">
        <w:tc>
          <w:tcPr>
            <w:tcW w:w="4531" w:type="dxa"/>
          </w:tcPr>
          <w:p w:rsidR="00856BD0" w:rsidRPr="003B2271" w:rsidRDefault="00856BD0" w:rsidP="008E0D4F">
            <w:r w:rsidRPr="003B2271">
              <w:t>Total husleie</w:t>
            </w:r>
          </w:p>
        </w:tc>
        <w:tc>
          <w:tcPr>
            <w:tcW w:w="4531" w:type="dxa"/>
          </w:tcPr>
          <w:p w:rsidR="00856BD0" w:rsidRPr="003B2271" w:rsidRDefault="00856BD0" w:rsidP="00EF5C82">
            <w:pPr>
              <w:jc w:val="right"/>
              <w:rPr>
                <w:rFonts w:cs="Arial"/>
                <w:color w:val="000000"/>
              </w:rPr>
            </w:pPr>
            <w:r w:rsidRPr="003B2271">
              <w:rPr>
                <w:rFonts w:cs="Arial"/>
                <w:color w:val="000000"/>
              </w:rPr>
              <w:t>652</w:t>
            </w:r>
            <w:r w:rsidR="00EF5C82" w:rsidRPr="003B2271">
              <w:rPr>
                <w:rFonts w:cs="Arial"/>
                <w:color w:val="000000"/>
              </w:rPr>
              <w:t xml:space="preserve"> </w:t>
            </w:r>
            <w:r w:rsidRPr="003B2271">
              <w:rPr>
                <w:rFonts w:cs="Arial"/>
                <w:color w:val="000000"/>
              </w:rPr>
              <w:t>913</w:t>
            </w:r>
          </w:p>
        </w:tc>
      </w:tr>
    </w:tbl>
    <w:p w:rsidR="00856BD0" w:rsidRPr="003B2271" w:rsidRDefault="00856BD0"/>
    <w:p w:rsidR="00856BD0" w:rsidRPr="003B2271" w:rsidRDefault="00856BD0"/>
    <w:p w:rsidR="00EA53E4" w:rsidRPr="003B2271" w:rsidRDefault="00856BD0">
      <w:pPr>
        <w:rPr>
          <w:b/>
        </w:rPr>
      </w:pPr>
      <w:r w:rsidRPr="003B2271">
        <w:rPr>
          <w:b/>
        </w:rPr>
        <w:t>Husleie 2016 alt. 2</w:t>
      </w:r>
      <w:r w:rsidR="00835CD4" w:rsidRPr="003B2271">
        <w:rPr>
          <w:b/>
        </w:rPr>
        <w:t xml:space="preserve"> (Husleie redusert i takt med nedbetalt lån, 100 % KPI justering) </w:t>
      </w:r>
    </w:p>
    <w:tbl>
      <w:tblPr>
        <w:tblStyle w:val="Tabellrutenett"/>
        <w:tblW w:w="0" w:type="auto"/>
        <w:tblLook w:val="04A0" w:firstRow="1" w:lastRow="0" w:firstColumn="1" w:lastColumn="0" w:noHBand="0" w:noVBand="1"/>
      </w:tblPr>
      <w:tblGrid>
        <w:gridCol w:w="4531"/>
        <w:gridCol w:w="4531"/>
      </w:tblGrid>
      <w:tr w:rsidR="00EA53E4" w:rsidRPr="003B2271" w:rsidTr="008E0D4F">
        <w:tc>
          <w:tcPr>
            <w:tcW w:w="4531" w:type="dxa"/>
          </w:tcPr>
          <w:p w:rsidR="00EA53E4" w:rsidRPr="003B2271" w:rsidRDefault="00EA53E4" w:rsidP="008E0D4F">
            <w:pPr>
              <w:rPr>
                <w:b/>
              </w:rPr>
            </w:pPr>
            <w:r w:rsidRPr="003B2271">
              <w:rPr>
                <w:b/>
              </w:rPr>
              <w:t>Austrått barnehage</w:t>
            </w:r>
          </w:p>
        </w:tc>
        <w:tc>
          <w:tcPr>
            <w:tcW w:w="4531" w:type="dxa"/>
          </w:tcPr>
          <w:p w:rsidR="00EA53E4" w:rsidRPr="003B2271" w:rsidRDefault="00EA53E4" w:rsidP="008E0D4F">
            <w:pPr>
              <w:rPr>
                <w:b/>
              </w:rPr>
            </w:pPr>
            <w:r w:rsidRPr="003B2271">
              <w:rPr>
                <w:b/>
              </w:rPr>
              <w:t>Beløp</w:t>
            </w:r>
          </w:p>
        </w:tc>
      </w:tr>
      <w:tr w:rsidR="00EA53E4" w:rsidRPr="003B2271" w:rsidTr="008E0D4F">
        <w:tc>
          <w:tcPr>
            <w:tcW w:w="4531" w:type="dxa"/>
          </w:tcPr>
          <w:p w:rsidR="00EA53E4" w:rsidRPr="003B2271" w:rsidRDefault="00EA53E4" w:rsidP="008E0D4F">
            <w:r w:rsidRPr="003B2271">
              <w:t>Bokført verdi 01.01.201</w:t>
            </w:r>
            <w:r w:rsidR="00E271DF" w:rsidRPr="003B2271">
              <w:t>5</w:t>
            </w:r>
          </w:p>
        </w:tc>
        <w:tc>
          <w:tcPr>
            <w:tcW w:w="4531" w:type="dxa"/>
          </w:tcPr>
          <w:p w:rsidR="00EA53E4" w:rsidRPr="003B2271" w:rsidRDefault="00EA53E4" w:rsidP="00EF5C82">
            <w:pPr>
              <w:jc w:val="right"/>
              <w:rPr>
                <w:rFonts w:cs="Arial"/>
                <w:color w:val="000000"/>
              </w:rPr>
            </w:pPr>
            <w:r w:rsidRPr="003B2271">
              <w:rPr>
                <w:rFonts w:cs="Arial"/>
                <w:color w:val="000000"/>
              </w:rPr>
              <w:t>11 227 132</w:t>
            </w:r>
          </w:p>
          <w:p w:rsidR="00EA53E4" w:rsidRPr="003B2271" w:rsidRDefault="00EA53E4" w:rsidP="00EF5C82">
            <w:pPr>
              <w:jc w:val="right"/>
            </w:pPr>
          </w:p>
        </w:tc>
      </w:tr>
      <w:tr w:rsidR="00EA53E4" w:rsidRPr="003B2271" w:rsidTr="008E0D4F">
        <w:tc>
          <w:tcPr>
            <w:tcW w:w="4531" w:type="dxa"/>
          </w:tcPr>
          <w:p w:rsidR="00FA4BF5" w:rsidRPr="003B2271" w:rsidRDefault="00FA4BF5" w:rsidP="008E0D4F"/>
          <w:p w:rsidR="00EA53E4" w:rsidRPr="003B2271" w:rsidRDefault="00EA53E4" w:rsidP="008E0D4F">
            <w:r w:rsidRPr="003B2271">
              <w:t>Nedskriving 2,5%</w:t>
            </w:r>
          </w:p>
        </w:tc>
        <w:tc>
          <w:tcPr>
            <w:tcW w:w="4531" w:type="dxa"/>
          </w:tcPr>
          <w:p w:rsidR="00EA53E4" w:rsidRPr="003B2271" w:rsidRDefault="00EA53E4" w:rsidP="00EF5C82">
            <w:pPr>
              <w:jc w:val="right"/>
              <w:rPr>
                <w:rFonts w:cs="Arial"/>
                <w:color w:val="000000"/>
              </w:rPr>
            </w:pPr>
            <w:r w:rsidRPr="003B2271">
              <w:rPr>
                <w:rFonts w:cs="Arial"/>
                <w:color w:val="000000"/>
              </w:rPr>
              <w:t>280</w:t>
            </w:r>
            <w:r w:rsidR="00EF5C82" w:rsidRPr="003B2271">
              <w:rPr>
                <w:rFonts w:cs="Arial"/>
                <w:color w:val="000000"/>
              </w:rPr>
              <w:t xml:space="preserve"> </w:t>
            </w:r>
            <w:r w:rsidRPr="003B2271">
              <w:rPr>
                <w:rFonts w:cs="Arial"/>
                <w:color w:val="000000"/>
              </w:rPr>
              <w:t>678</w:t>
            </w:r>
          </w:p>
          <w:p w:rsidR="00EA53E4" w:rsidRPr="003B2271" w:rsidRDefault="00EA53E4" w:rsidP="00EF5C82">
            <w:pPr>
              <w:jc w:val="right"/>
            </w:pPr>
          </w:p>
        </w:tc>
      </w:tr>
      <w:tr w:rsidR="00EA53E4" w:rsidRPr="003B2271" w:rsidTr="008E0D4F">
        <w:tc>
          <w:tcPr>
            <w:tcW w:w="4531" w:type="dxa"/>
          </w:tcPr>
          <w:p w:rsidR="00EA53E4" w:rsidRPr="003B2271" w:rsidRDefault="00E271DF" w:rsidP="008E0D4F">
            <w:r w:rsidRPr="003B2271">
              <w:t>Bokført verdi 01.01.2016</w:t>
            </w:r>
          </w:p>
        </w:tc>
        <w:tc>
          <w:tcPr>
            <w:tcW w:w="4531" w:type="dxa"/>
          </w:tcPr>
          <w:p w:rsidR="00EA53E4" w:rsidRPr="003B2271" w:rsidRDefault="00E271DF" w:rsidP="00EF5C82">
            <w:pPr>
              <w:jc w:val="right"/>
              <w:rPr>
                <w:rFonts w:cs="Arial"/>
                <w:color w:val="000000"/>
              </w:rPr>
            </w:pPr>
            <w:r w:rsidRPr="003B2271">
              <w:rPr>
                <w:rFonts w:cs="Arial"/>
                <w:color w:val="000000"/>
              </w:rPr>
              <w:t>11</w:t>
            </w:r>
            <w:r w:rsidR="00EF5C82" w:rsidRPr="003B2271">
              <w:rPr>
                <w:rFonts w:cs="Arial"/>
                <w:color w:val="000000"/>
              </w:rPr>
              <w:t xml:space="preserve"> </w:t>
            </w:r>
            <w:r w:rsidRPr="003B2271">
              <w:rPr>
                <w:rFonts w:cs="Arial"/>
                <w:color w:val="000000"/>
              </w:rPr>
              <w:t>170</w:t>
            </w:r>
            <w:r w:rsidR="00EF5C82" w:rsidRPr="003B2271">
              <w:rPr>
                <w:rFonts w:cs="Arial"/>
                <w:color w:val="000000"/>
              </w:rPr>
              <w:t xml:space="preserve"> </w:t>
            </w:r>
            <w:r w:rsidRPr="003B2271">
              <w:rPr>
                <w:rFonts w:cs="Arial"/>
                <w:color w:val="000000"/>
              </w:rPr>
              <w:t>996</w:t>
            </w:r>
          </w:p>
        </w:tc>
      </w:tr>
      <w:tr w:rsidR="00E271DF" w:rsidRPr="003B2271" w:rsidTr="008E0D4F">
        <w:tc>
          <w:tcPr>
            <w:tcW w:w="4531" w:type="dxa"/>
          </w:tcPr>
          <w:p w:rsidR="00E271DF" w:rsidRPr="003B2271" w:rsidRDefault="00E271DF" w:rsidP="008E0D4F">
            <w:r w:rsidRPr="003B2271">
              <w:t>Husleie kapital</w:t>
            </w:r>
          </w:p>
        </w:tc>
        <w:tc>
          <w:tcPr>
            <w:tcW w:w="4531" w:type="dxa"/>
          </w:tcPr>
          <w:p w:rsidR="00E271DF" w:rsidRPr="003B2271" w:rsidRDefault="00E271DF" w:rsidP="00EF5C82">
            <w:pPr>
              <w:jc w:val="right"/>
              <w:rPr>
                <w:rFonts w:cs="Arial"/>
                <w:color w:val="000000"/>
              </w:rPr>
            </w:pPr>
            <w:r w:rsidRPr="003B2271">
              <w:rPr>
                <w:rFonts w:cs="Arial"/>
                <w:color w:val="000000"/>
              </w:rPr>
              <w:t>558</w:t>
            </w:r>
            <w:r w:rsidR="00EF5C82" w:rsidRPr="003B2271">
              <w:rPr>
                <w:rFonts w:cs="Arial"/>
                <w:color w:val="000000"/>
              </w:rPr>
              <w:t xml:space="preserve"> </w:t>
            </w:r>
            <w:r w:rsidRPr="003B2271">
              <w:rPr>
                <w:rFonts w:cs="Arial"/>
                <w:color w:val="000000"/>
              </w:rPr>
              <w:t>550</w:t>
            </w:r>
          </w:p>
        </w:tc>
      </w:tr>
      <w:tr w:rsidR="00E271DF" w:rsidRPr="003B2271" w:rsidTr="008E0D4F">
        <w:tc>
          <w:tcPr>
            <w:tcW w:w="4531" w:type="dxa"/>
          </w:tcPr>
          <w:p w:rsidR="00E271DF" w:rsidRPr="003B2271" w:rsidRDefault="00E271DF" w:rsidP="008E0D4F">
            <w:r w:rsidRPr="003B2271">
              <w:t>Husleie FDV</w:t>
            </w:r>
          </w:p>
        </w:tc>
        <w:tc>
          <w:tcPr>
            <w:tcW w:w="4531" w:type="dxa"/>
          </w:tcPr>
          <w:p w:rsidR="00E271DF" w:rsidRPr="003B2271" w:rsidRDefault="00E271DF" w:rsidP="00EF5C82">
            <w:pPr>
              <w:jc w:val="right"/>
              <w:rPr>
                <w:rFonts w:cs="Arial"/>
                <w:color w:val="000000"/>
              </w:rPr>
            </w:pPr>
            <w:r w:rsidRPr="003B2271">
              <w:rPr>
                <w:rFonts w:cs="Arial"/>
                <w:color w:val="000000"/>
              </w:rPr>
              <w:t>80</w:t>
            </w:r>
            <w:r w:rsidR="00EF5C82" w:rsidRPr="003B2271">
              <w:rPr>
                <w:rFonts w:cs="Arial"/>
                <w:color w:val="000000"/>
              </w:rPr>
              <w:t xml:space="preserve"> </w:t>
            </w:r>
            <w:r w:rsidRPr="003B2271">
              <w:rPr>
                <w:rFonts w:cs="Arial"/>
                <w:color w:val="000000"/>
              </w:rPr>
              <w:t>330</w:t>
            </w:r>
          </w:p>
        </w:tc>
      </w:tr>
      <w:tr w:rsidR="00E271DF" w:rsidRPr="003B2271" w:rsidTr="008E0D4F">
        <w:tc>
          <w:tcPr>
            <w:tcW w:w="4531" w:type="dxa"/>
          </w:tcPr>
          <w:p w:rsidR="00E271DF" w:rsidRPr="003B2271" w:rsidRDefault="00E271DF" w:rsidP="008E0D4F">
            <w:r w:rsidRPr="003B2271">
              <w:t>Total husleie</w:t>
            </w:r>
          </w:p>
        </w:tc>
        <w:tc>
          <w:tcPr>
            <w:tcW w:w="4531" w:type="dxa"/>
          </w:tcPr>
          <w:p w:rsidR="00E271DF" w:rsidRPr="003B2271" w:rsidRDefault="00E271DF" w:rsidP="00EF5C82">
            <w:pPr>
              <w:jc w:val="right"/>
              <w:rPr>
                <w:rFonts w:cs="Arial"/>
                <w:color w:val="000000"/>
              </w:rPr>
            </w:pPr>
            <w:r w:rsidRPr="003B2271">
              <w:rPr>
                <w:rFonts w:cs="Arial"/>
                <w:color w:val="000000"/>
              </w:rPr>
              <w:t>638</w:t>
            </w:r>
            <w:r w:rsidR="00EF5C82" w:rsidRPr="003B2271">
              <w:rPr>
                <w:rFonts w:cs="Arial"/>
                <w:color w:val="000000"/>
              </w:rPr>
              <w:t xml:space="preserve"> </w:t>
            </w:r>
            <w:r w:rsidRPr="003B2271">
              <w:rPr>
                <w:rFonts w:cs="Arial"/>
                <w:color w:val="000000"/>
              </w:rPr>
              <w:t>879</w:t>
            </w:r>
          </w:p>
        </w:tc>
      </w:tr>
    </w:tbl>
    <w:p w:rsidR="00EA53E4" w:rsidRPr="003B2271" w:rsidRDefault="00EA53E4"/>
    <w:p w:rsidR="00F6062D" w:rsidRPr="003B2271" w:rsidRDefault="00F6062D" w:rsidP="00E271DF">
      <w:r w:rsidRPr="003B2271">
        <w:t xml:space="preserve">Rådmannen har i sitt forslag til økonomiplan 2016 – 2019 lagt til grunn alternativ 2. </w:t>
      </w:r>
    </w:p>
    <w:p w:rsidR="00F6062D" w:rsidRPr="003B2271" w:rsidRDefault="00F6062D" w:rsidP="00E271DF">
      <w:r w:rsidRPr="003B2271">
        <w:t xml:space="preserve">Daglig leder viser til styrets vedtak i SEKF sak 150 – 15. </w:t>
      </w:r>
      <w:r w:rsidR="00835CD4" w:rsidRPr="003B2271">
        <w:t>På grunn av den økonomiske situasjonen til Sandnes kommune legges alt 2 til grunn for beregning av husleien for eksisterende bygg</w:t>
      </w:r>
      <w:r w:rsidR="007C108A" w:rsidRPr="003B2271">
        <w:t xml:space="preserve"> for 2016</w:t>
      </w:r>
      <w:r w:rsidR="00835CD4" w:rsidRPr="003B2271">
        <w:t xml:space="preserve">. </w:t>
      </w:r>
      <w:r w:rsidRPr="003B2271">
        <w:t xml:space="preserve"> </w:t>
      </w:r>
    </w:p>
    <w:p w:rsidR="00856BD0" w:rsidRDefault="00856BD0">
      <w:pPr>
        <w:rPr>
          <w:b/>
          <w:sz w:val="28"/>
          <w:szCs w:val="28"/>
          <w:u w:val="single"/>
        </w:rPr>
      </w:pPr>
    </w:p>
    <w:p w:rsidR="00856BD0" w:rsidRDefault="00856BD0" w:rsidP="00856BD0">
      <w:pPr>
        <w:rPr>
          <w:b/>
          <w:sz w:val="28"/>
          <w:szCs w:val="28"/>
        </w:rPr>
      </w:pPr>
      <w:r w:rsidRPr="00156569">
        <w:rPr>
          <w:b/>
          <w:sz w:val="28"/>
          <w:szCs w:val="28"/>
          <w:u w:val="single"/>
        </w:rPr>
        <w:t>Forslag til vedtak</w:t>
      </w:r>
      <w:r w:rsidRPr="00156569">
        <w:rPr>
          <w:b/>
          <w:sz w:val="28"/>
          <w:szCs w:val="28"/>
        </w:rPr>
        <w:t>:</w:t>
      </w:r>
    </w:p>
    <w:p w:rsidR="00BE225A" w:rsidRPr="00156569" w:rsidRDefault="00BE225A" w:rsidP="00856BD0">
      <w:pPr>
        <w:rPr>
          <w:b/>
          <w:sz w:val="28"/>
          <w:szCs w:val="28"/>
        </w:rPr>
      </w:pPr>
    </w:p>
    <w:p w:rsidR="00F6062D" w:rsidRPr="003B2271" w:rsidRDefault="00F6062D" w:rsidP="00F6062D">
      <w:pPr>
        <w:pStyle w:val="Listeavsnitt"/>
        <w:numPr>
          <w:ilvl w:val="0"/>
          <w:numId w:val="4"/>
        </w:numPr>
        <w:spacing w:after="200" w:line="276" w:lineRule="auto"/>
        <w:rPr>
          <w:rFonts w:cs="Times New Roman"/>
        </w:rPr>
      </w:pPr>
      <w:r w:rsidRPr="003B2271">
        <w:rPr>
          <w:rFonts w:cs="Times New Roman"/>
        </w:rPr>
        <w:t xml:space="preserve">Styret tar sak til orientering </w:t>
      </w:r>
    </w:p>
    <w:p w:rsidR="00F6062D" w:rsidRPr="003B2271" w:rsidRDefault="00F6062D" w:rsidP="00F6062D">
      <w:pPr>
        <w:pStyle w:val="Listeavsnitt"/>
        <w:numPr>
          <w:ilvl w:val="0"/>
          <w:numId w:val="4"/>
        </w:numPr>
        <w:spacing w:after="200" w:line="276" w:lineRule="auto"/>
        <w:rPr>
          <w:rFonts w:cs="Times New Roman"/>
        </w:rPr>
      </w:pPr>
      <w:r w:rsidRPr="003B2271">
        <w:rPr>
          <w:rFonts w:cs="Times New Roman"/>
        </w:rPr>
        <w:t>Saken oversendes rådmannen for videre oppfølging</w:t>
      </w:r>
    </w:p>
    <w:p w:rsidR="00856BD0" w:rsidRDefault="00856BD0" w:rsidP="00F6062D">
      <w:pPr>
        <w:rPr>
          <w:rFonts w:cs="Times New Roman"/>
        </w:rPr>
      </w:pPr>
    </w:p>
    <w:p w:rsidR="003B2271" w:rsidRDefault="003B2271" w:rsidP="00F6062D">
      <w:pPr>
        <w:rPr>
          <w:rFonts w:cs="Times New Roman"/>
        </w:rPr>
      </w:pPr>
    </w:p>
    <w:p w:rsidR="003B2271" w:rsidRPr="003B2271" w:rsidRDefault="003B2271" w:rsidP="00F6062D">
      <w:pPr>
        <w:rPr>
          <w:rFonts w:cs="Times New Roman"/>
        </w:rPr>
      </w:pPr>
    </w:p>
    <w:p w:rsidR="00856BD0" w:rsidRPr="003B2271" w:rsidRDefault="00856BD0" w:rsidP="00856BD0">
      <w:pPr>
        <w:rPr>
          <w:rFonts w:cs="Times New Roman"/>
          <w:color w:val="FF0000"/>
        </w:rPr>
      </w:pPr>
      <w:r w:rsidRPr="003B2271">
        <w:rPr>
          <w:rFonts w:cs="Times New Roman"/>
        </w:rPr>
        <w:t xml:space="preserve">Sandnes Eiendomsselskap KF, </w:t>
      </w:r>
      <w:r w:rsidR="007C108A" w:rsidRPr="003B2271">
        <w:rPr>
          <w:rFonts w:cs="Times New Roman"/>
        </w:rPr>
        <w:t>10.11</w:t>
      </w:r>
      <w:r w:rsidRPr="003B2271">
        <w:rPr>
          <w:rFonts w:cs="Times New Roman"/>
        </w:rPr>
        <w:t>.2015</w:t>
      </w:r>
    </w:p>
    <w:p w:rsidR="00856BD0" w:rsidRDefault="00856BD0" w:rsidP="00856BD0">
      <w:pPr>
        <w:rPr>
          <w:rFonts w:cs="Times New Roman"/>
        </w:rPr>
      </w:pPr>
    </w:p>
    <w:p w:rsidR="003B2271" w:rsidRPr="003B2271" w:rsidRDefault="003B2271" w:rsidP="00856BD0">
      <w:pPr>
        <w:rPr>
          <w:rFonts w:cs="Times New Roman"/>
        </w:rPr>
      </w:pPr>
    </w:p>
    <w:p w:rsidR="00856BD0" w:rsidRPr="003B2271" w:rsidRDefault="00856BD0" w:rsidP="00856BD0">
      <w:pPr>
        <w:rPr>
          <w:rFonts w:cs="Times New Roman"/>
        </w:rPr>
      </w:pPr>
      <w:r w:rsidRPr="003B2271">
        <w:rPr>
          <w:rFonts w:cs="Times New Roman"/>
        </w:rPr>
        <w:t>Torbjørn Sterri</w:t>
      </w:r>
    </w:p>
    <w:p w:rsidR="00856BD0" w:rsidRPr="003B2271" w:rsidRDefault="00856BD0" w:rsidP="00856BD0">
      <w:proofErr w:type="gramStart"/>
      <w:r w:rsidRPr="003B2271">
        <w:rPr>
          <w:rFonts w:cs="Times New Roman"/>
        </w:rPr>
        <w:t>daglig</w:t>
      </w:r>
      <w:proofErr w:type="gramEnd"/>
      <w:r w:rsidRPr="003B2271">
        <w:rPr>
          <w:rFonts w:cs="Times New Roman"/>
        </w:rPr>
        <w:t xml:space="preserve"> leder</w:t>
      </w:r>
    </w:p>
    <w:p w:rsidR="00856BD0" w:rsidRPr="003B2271" w:rsidRDefault="00856BD0"/>
    <w:p w:rsidR="00FB701F" w:rsidRPr="003B2271" w:rsidRDefault="00FB701F">
      <w:r w:rsidRPr="003B2271">
        <w:t>Vedlegg 1: Husleieberegning bygg tatt i bruk før 01.01.2015</w:t>
      </w:r>
    </w:p>
    <w:p w:rsidR="00FB701F" w:rsidRPr="003B2271" w:rsidRDefault="00FB701F">
      <w:r w:rsidRPr="003B2271">
        <w:t>Vedlegg 2: Husleieberegning nye bygg</w:t>
      </w:r>
    </w:p>
    <w:p w:rsidR="00BE225A" w:rsidRPr="003B2271" w:rsidRDefault="00BE225A">
      <w:r w:rsidRPr="003B2271">
        <w:t xml:space="preserve">Vedlegg 3: Utkast til avtale om internhusleie administrasjonsbygg </w:t>
      </w:r>
    </w:p>
    <w:p w:rsidR="00BE225A" w:rsidRPr="003B2271" w:rsidRDefault="00BE225A"/>
    <w:p w:rsidR="00BE225A" w:rsidRDefault="00BE225A"/>
    <w:sectPr w:rsidR="00BE2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018E"/>
    <w:multiLevelType w:val="hybridMultilevel"/>
    <w:tmpl w:val="48B837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33B0103"/>
    <w:multiLevelType w:val="hybridMultilevel"/>
    <w:tmpl w:val="66403D36"/>
    <w:lvl w:ilvl="0" w:tplc="9CB2CCC6">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EBA7BE0"/>
    <w:multiLevelType w:val="hybridMultilevel"/>
    <w:tmpl w:val="135AA06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59C82112"/>
    <w:multiLevelType w:val="hybridMultilevel"/>
    <w:tmpl w:val="70526430"/>
    <w:lvl w:ilvl="0" w:tplc="0414000F">
      <w:start w:val="1"/>
      <w:numFmt w:val="decimal"/>
      <w:lvlText w:val="%1."/>
      <w:lvlJc w:val="left"/>
      <w:pPr>
        <w:ind w:left="64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BB"/>
    <w:rsid w:val="00016BCF"/>
    <w:rsid w:val="001161E7"/>
    <w:rsid w:val="001353D6"/>
    <w:rsid w:val="001C71CA"/>
    <w:rsid w:val="0021112C"/>
    <w:rsid w:val="00222E91"/>
    <w:rsid w:val="002C1D82"/>
    <w:rsid w:val="00347C31"/>
    <w:rsid w:val="00353CB0"/>
    <w:rsid w:val="003808AA"/>
    <w:rsid w:val="003A107A"/>
    <w:rsid w:val="003B085C"/>
    <w:rsid w:val="003B2271"/>
    <w:rsid w:val="003E04BB"/>
    <w:rsid w:val="00435BCC"/>
    <w:rsid w:val="004D0A27"/>
    <w:rsid w:val="005D0BF7"/>
    <w:rsid w:val="005F2EAF"/>
    <w:rsid w:val="006323F3"/>
    <w:rsid w:val="006A7313"/>
    <w:rsid w:val="006F2178"/>
    <w:rsid w:val="00704AA6"/>
    <w:rsid w:val="007308FE"/>
    <w:rsid w:val="007A2419"/>
    <w:rsid w:val="007A6BF1"/>
    <w:rsid w:val="007C108A"/>
    <w:rsid w:val="007C1DB0"/>
    <w:rsid w:val="00835CD4"/>
    <w:rsid w:val="00856BD0"/>
    <w:rsid w:val="008A4C77"/>
    <w:rsid w:val="0091345A"/>
    <w:rsid w:val="00990F36"/>
    <w:rsid w:val="00A4490B"/>
    <w:rsid w:val="00A86DFB"/>
    <w:rsid w:val="00A97724"/>
    <w:rsid w:val="00AE0425"/>
    <w:rsid w:val="00BE225A"/>
    <w:rsid w:val="00C6650F"/>
    <w:rsid w:val="00D850C9"/>
    <w:rsid w:val="00DC477D"/>
    <w:rsid w:val="00E271DF"/>
    <w:rsid w:val="00E52E29"/>
    <w:rsid w:val="00EA51AF"/>
    <w:rsid w:val="00EA53E4"/>
    <w:rsid w:val="00EF5C82"/>
    <w:rsid w:val="00F6062D"/>
    <w:rsid w:val="00FA4BF5"/>
    <w:rsid w:val="00FB701F"/>
    <w:rsid w:val="00FD29A0"/>
    <w:rsid w:val="00FF5D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49284-0411-498C-B8E8-D5A0ED72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3E04BB"/>
    <w:pPr>
      <w:ind w:left="720"/>
      <w:contextualSpacing/>
    </w:pPr>
  </w:style>
  <w:style w:type="paragraph" w:styleId="Bobletekst">
    <w:name w:val="Balloon Text"/>
    <w:basedOn w:val="Normal"/>
    <w:link w:val="BobletekstTegn"/>
    <w:uiPriority w:val="99"/>
    <w:semiHidden/>
    <w:unhideWhenUsed/>
    <w:rsid w:val="008A4C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A4C77"/>
    <w:rPr>
      <w:rFonts w:ascii="Segoe UI" w:hAnsi="Segoe UI" w:cs="Segoe UI"/>
      <w:sz w:val="18"/>
      <w:szCs w:val="18"/>
    </w:rPr>
  </w:style>
  <w:style w:type="table" w:styleId="Tabellrutenett">
    <w:name w:val="Table Grid"/>
    <w:basedOn w:val="Vanligtabell"/>
    <w:uiPriority w:val="39"/>
    <w:rsid w:val="00EA5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vsnittTegn">
    <w:name w:val="Listeavsnitt Tegn"/>
    <w:link w:val="Listeavsnitt"/>
    <w:uiPriority w:val="34"/>
    <w:locked/>
    <w:rsid w:val="00F6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4423">
      <w:bodyDiv w:val="1"/>
      <w:marLeft w:val="0"/>
      <w:marRight w:val="0"/>
      <w:marTop w:val="0"/>
      <w:marBottom w:val="0"/>
      <w:divBdr>
        <w:top w:val="none" w:sz="0" w:space="0" w:color="auto"/>
        <w:left w:val="none" w:sz="0" w:space="0" w:color="auto"/>
        <w:bottom w:val="none" w:sz="0" w:space="0" w:color="auto"/>
        <w:right w:val="none" w:sz="0" w:space="0" w:color="auto"/>
      </w:divBdr>
    </w:div>
    <w:div w:id="262418669">
      <w:bodyDiv w:val="1"/>
      <w:marLeft w:val="0"/>
      <w:marRight w:val="0"/>
      <w:marTop w:val="0"/>
      <w:marBottom w:val="0"/>
      <w:divBdr>
        <w:top w:val="none" w:sz="0" w:space="0" w:color="auto"/>
        <w:left w:val="none" w:sz="0" w:space="0" w:color="auto"/>
        <w:bottom w:val="none" w:sz="0" w:space="0" w:color="auto"/>
        <w:right w:val="none" w:sz="0" w:space="0" w:color="auto"/>
      </w:divBdr>
    </w:div>
    <w:div w:id="658969709">
      <w:bodyDiv w:val="1"/>
      <w:marLeft w:val="0"/>
      <w:marRight w:val="0"/>
      <w:marTop w:val="0"/>
      <w:marBottom w:val="0"/>
      <w:divBdr>
        <w:top w:val="none" w:sz="0" w:space="0" w:color="auto"/>
        <w:left w:val="none" w:sz="0" w:space="0" w:color="auto"/>
        <w:bottom w:val="none" w:sz="0" w:space="0" w:color="auto"/>
        <w:right w:val="none" w:sz="0" w:space="0" w:color="auto"/>
      </w:divBdr>
    </w:div>
    <w:div w:id="696008596">
      <w:bodyDiv w:val="1"/>
      <w:marLeft w:val="0"/>
      <w:marRight w:val="0"/>
      <w:marTop w:val="0"/>
      <w:marBottom w:val="0"/>
      <w:divBdr>
        <w:top w:val="none" w:sz="0" w:space="0" w:color="auto"/>
        <w:left w:val="none" w:sz="0" w:space="0" w:color="auto"/>
        <w:bottom w:val="none" w:sz="0" w:space="0" w:color="auto"/>
        <w:right w:val="none" w:sz="0" w:space="0" w:color="auto"/>
      </w:divBdr>
    </w:div>
    <w:div w:id="896820338">
      <w:bodyDiv w:val="1"/>
      <w:marLeft w:val="0"/>
      <w:marRight w:val="0"/>
      <w:marTop w:val="0"/>
      <w:marBottom w:val="0"/>
      <w:divBdr>
        <w:top w:val="none" w:sz="0" w:space="0" w:color="auto"/>
        <w:left w:val="none" w:sz="0" w:space="0" w:color="auto"/>
        <w:bottom w:val="none" w:sz="0" w:space="0" w:color="auto"/>
        <w:right w:val="none" w:sz="0" w:space="0" w:color="auto"/>
      </w:divBdr>
    </w:div>
    <w:div w:id="1377582630">
      <w:bodyDiv w:val="1"/>
      <w:marLeft w:val="0"/>
      <w:marRight w:val="0"/>
      <w:marTop w:val="0"/>
      <w:marBottom w:val="0"/>
      <w:divBdr>
        <w:top w:val="none" w:sz="0" w:space="0" w:color="auto"/>
        <w:left w:val="none" w:sz="0" w:space="0" w:color="auto"/>
        <w:bottom w:val="none" w:sz="0" w:space="0" w:color="auto"/>
        <w:right w:val="none" w:sz="0" w:space="0" w:color="auto"/>
      </w:divBdr>
    </w:div>
    <w:div w:id="1401442293">
      <w:bodyDiv w:val="1"/>
      <w:marLeft w:val="0"/>
      <w:marRight w:val="0"/>
      <w:marTop w:val="0"/>
      <w:marBottom w:val="0"/>
      <w:divBdr>
        <w:top w:val="none" w:sz="0" w:space="0" w:color="auto"/>
        <w:left w:val="none" w:sz="0" w:space="0" w:color="auto"/>
        <w:bottom w:val="none" w:sz="0" w:space="0" w:color="auto"/>
        <w:right w:val="none" w:sz="0" w:space="0" w:color="auto"/>
      </w:divBdr>
    </w:div>
    <w:div w:id="20693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78529b0-c7b2-4dce-a8f3-df319b94f56e@sandnes.kommune.n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1160</Words>
  <Characters>6149</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Årtun, Guri</dc:creator>
  <cp:keywords/>
  <dc:description/>
  <cp:lastModifiedBy>Sterri, Torbjørn</cp:lastModifiedBy>
  <cp:revision>8</cp:revision>
  <cp:lastPrinted>2015-10-30T08:14:00Z</cp:lastPrinted>
  <dcterms:created xsi:type="dcterms:W3CDTF">2015-11-10T19:59:00Z</dcterms:created>
  <dcterms:modified xsi:type="dcterms:W3CDTF">2015-11-10T20:31:00Z</dcterms:modified>
</cp:coreProperties>
</file>